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shd w:val="clear" w:color="ddebf6" w:themeColor="accent1" w:themeTint="33" w:fill="ddebf6" w:themeFill="accent1" w:themeFillTint="33"/>
              </w:rPr>
              <w:t xml:space="preserve">«05» июня 2026 г</w:t>
            </w:r>
            <w:r>
              <w:rPr>
                <w:color w:val="000000"/>
                <w:highlight w:val="none"/>
              </w:rPr>
              <w:t xml:space="preserve">.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</w:tr>
    </w:tbl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55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shd w:val="clear" w:color="ddebf6" w:themeColor="accent1" w:themeTint="33" w:fill="ddebf6" w:themeFill="accent1" w:themeFillTint="33"/>
        <w:rPr>
          <w:b/>
          <w:bCs/>
        </w:rPr>
      </w:pPr>
      <w:r>
        <w:rPr>
          <w:b/>
          <w:bCs/>
          <w:highlight w:val="yellow"/>
          <w:shd w:val="clear" w:color="auto" w:fill="deeaf6" w:themeFill="accent1" w:themeFillTint="33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  <w:vertAlign w:val="baseline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2.2.17р)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15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ind w:left="567" w:firstLine="0"/>
        <w:keepNext w:val="0"/>
        <w:spacing w:before="0" w:after="0"/>
        <w:tabs>
          <w:tab w:val="clear" w:pos="432" w:leader="none"/>
        </w:tabs>
        <w:rPr>
          <w:rStyle w:val="1392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211" w:name="_Toc1"/>
      <w:r>
        <w:rPr>
          <w:rStyle w:val="1392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r>
        <w:rPr>
          <w:rStyle w:val="1392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bookmarkEnd w:id="211"/>
      <w:r/>
      <w:r>
        <w:rPr>
          <w:rStyle w:val="1392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411"/>
        <w:tabs>
          <w:tab w:val="right" w:pos="10195" w:leader="dot"/>
        </w:tabs>
        <w:rPr>
          <w:rStyle w:val="1392"/>
          <w:rFonts w:ascii="Times New Roman" w:hAnsi="Times New Roman" w:cs="Times New Roman"/>
          <w:caps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r>
        <w:rPr>
          <w:b w:val="0"/>
          <w:i/>
          <w:smallCaps/>
          <w:sz w:val="24"/>
          <w:szCs w:val="24"/>
        </w:rPr>
      </w:r>
      <w:hyperlink w:tooltip="#_Toc1" w:anchor="_Toc1" w:history="1">
        <w:r>
          <w:rPr>
            <w:rStyle w:val="1441"/>
          </w:rPr>
        </w:r>
        <w:r>
          <w:rPr>
            <w:rStyle w:val="1441"/>
            <w:rFonts w:ascii="Times New Roman" w:hAnsi="Times New Roman" w:cs="Times New Roman"/>
            <w:caps/>
          </w:rPr>
          <w:t xml:space="preserve">СОДЕРЖАНИЕ</w:t>
        </w:r>
        <w:r>
          <w:rPr>
            <w:rStyle w:val="1441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>
        <w:rPr>
          <w:rStyle w:val="1392"/>
          <w:rFonts w:ascii="Times New Roman" w:hAnsi="Times New Roman" w:cs="Times New Roman"/>
          <w:caps/>
        </w:rPr>
      </w:r>
    </w:p>
    <w:p>
      <w:pPr>
        <w:pStyle w:val="1411"/>
        <w:tabs>
          <w:tab w:val="left" w:pos="567" w:leader="none"/>
          <w:tab w:val="right" w:pos="10195" w:leader="dot"/>
        </w:tabs>
        <w:rPr>
          <w:rStyle w:val="1392"/>
          <w:caps/>
        </w:rPr>
      </w:pPr>
      <w:hyperlink w:tooltip="#_Toc2" w:anchor="_Toc2" w:history="1">
        <w:r>
          <w:rPr>
            <w:rFonts w:ascii="Times New Roman" w:hAnsi="Times New Roman" w:eastAsia="Times New Roman" w:cs="Times New Roman"/>
          </w:rPr>
          <w:t xml:space="preserve">I.</w:t>
        </w:r>
        <w:r>
          <w:tab/>
        </w:r>
        <w:r>
          <w:rPr>
            <w:rStyle w:val="1441"/>
          </w:rPr>
        </w:r>
        <w:r>
          <w:rPr>
            <w:rStyle w:val="1441"/>
            <w:rFonts w:ascii="Times New Roman" w:hAnsi="Times New Roman" w:cs="Times New Roman"/>
            <w:caps/>
          </w:rPr>
          <w:t xml:space="preserve">ОБЩИЕ УСЛОВИЯ ПРОВЕДЕНИЯ ЗАКУПКИ</w:t>
        </w:r>
        <w:r>
          <w:rPr>
            <w:rStyle w:val="1441"/>
            <w:caps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4</w:t>
          <w:fldChar w:fldCharType="end"/>
        </w:r>
      </w:hyperlink>
      <w:r>
        <w:rPr>
          <w:rStyle w:val="1392"/>
          <w:caps/>
        </w:rPr>
      </w:r>
    </w:p>
    <w:p>
      <w:pPr>
        <w:pStyle w:val="1411"/>
        <w:tabs>
          <w:tab w:val="left" w:pos="567" w:leader="none"/>
          <w:tab w:val="right" w:pos="10195" w:leader="dot"/>
        </w:tabs>
      </w:pPr>
      <w:hyperlink w:tooltip="#_Toc3" w:anchor="_Toc3" w:history="1">
        <w:r>
          <w:rPr>
            <w:rFonts w:ascii="Times New Roman" w:hAnsi="Times New Roman" w:eastAsia="Times New Roman" w:cs="Times New Roman"/>
          </w:rPr>
          <w:t xml:space="preserve">1.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ОБЩИЕ ПОЛОЖЕНИЯ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4" w:anchor="_Toc4" w:history="1">
        <w:r>
          <w:rPr>
            <w:rFonts w:ascii="Times New Roman" w:hAnsi="Times New Roman" w:eastAsia="Times New Roman" w:cs="Times New Roman"/>
          </w:rPr>
          <w:t xml:space="preserve">1.1.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Правовой статус документов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5" w:anchor="_Toc5" w:history="1">
        <w:r>
          <w:rPr>
            <w:rFonts w:ascii="Times New Roman" w:hAnsi="Times New Roman" w:eastAsia="Times New Roman" w:cs="Times New Roman"/>
          </w:rPr>
          <w:t xml:space="preserve">1.2.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Заказчик, предмет и условия проведения закупки.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6" w:anchor="_Toc6" w:history="1">
        <w:r>
          <w:rPr>
            <w:rFonts w:ascii="Times New Roman" w:hAnsi="Times New Roman" w:eastAsia="Times New Roman" w:cs="Times New Roman"/>
          </w:rPr>
          <w:t xml:space="preserve">1.3.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Начальная (максимальная) цена договора (цена лота) 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4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7" w:anchor="_Toc7" w:history="1">
        <w:r>
          <w:rPr>
            <w:rFonts w:ascii="Times New Roman" w:hAnsi="Times New Roman" w:eastAsia="Times New Roman" w:cs="Times New Roman"/>
          </w:rPr>
          <w:t xml:space="preserve">1.4.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участникам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5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8" w:anchor="_Toc8" w:history="1">
        <w:r>
          <w:rPr>
            <w:rFonts w:ascii="Times New Roman" w:hAnsi="Times New Roman" w:eastAsia="Times New Roman" w:cs="Times New Roman"/>
          </w:rPr>
          <w:t xml:space="preserve">1.5.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Привлечение соисполнителей (субподрядчиков) к исполнению договора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9" w:anchor="_Toc9" w:history="1">
        <w:r>
          <w:rPr>
            <w:rFonts w:ascii="Times New Roman" w:hAnsi="Times New Roman" w:eastAsia="Times New Roman" w:cs="Times New Roman"/>
          </w:rPr>
          <w:t xml:space="preserve">1.6.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Расходы н</w:t>
        </w:r>
        <w:r>
          <w:rPr>
            <w:rStyle w:val="1441"/>
          </w:rPr>
          <w:t xml:space="preserve">а участие в закупке и при заключении договора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0" w:anchor="_Toc10" w:history="1">
        <w:r>
          <w:rPr>
            <w:rFonts w:ascii="Times New Roman" w:hAnsi="Times New Roman" w:eastAsia="Times New Roman" w:cs="Times New Roman"/>
          </w:rPr>
          <w:t xml:space="preserve">1.7.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  </w:r>
        <w:r>
          <w:rPr>
            <w:rStyle w:val="1441"/>
          </w:rPr>
          <w:t xml:space="preserve">и видами юридических лиц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1" w:anchor="_Toc11" w:history="1">
        <w:r>
          <w:rPr>
            <w:rFonts w:ascii="Times New Roman" w:hAnsi="Times New Roman" w:eastAsia="Times New Roman" w:cs="Times New Roman"/>
          </w:rPr>
          <w:t xml:space="preserve">1.8.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Антимонопольная оговорка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7</w:t>
          <w:fldChar w:fldCharType="end"/>
        </w:r>
      </w:hyperlink>
      <w:r/>
    </w:p>
    <w:p>
      <w:pPr>
        <w:pStyle w:val="1411"/>
        <w:tabs>
          <w:tab w:val="left" w:pos="567" w:leader="none"/>
          <w:tab w:val="right" w:pos="10195" w:leader="dot"/>
        </w:tabs>
      </w:pPr>
      <w:hyperlink w:tooltip="#_Toc12" w:anchor="_Toc12" w:history="1">
        <w:r>
          <w:rPr>
            <w:rFonts w:ascii="Times New Roman" w:hAnsi="Times New Roman" w:eastAsia="Times New Roman" w:cs="Times New Roman"/>
          </w:rPr>
          <w:t xml:space="preserve">2.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ДОКУМЕНТАЦИЯ О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7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3" w:anchor="_Toc13" w:history="1">
        <w:r>
          <w:rPr>
            <w:rFonts w:ascii="Times New Roman" w:hAnsi="Times New Roman" w:eastAsia="Times New Roman" w:cs="Times New Roman"/>
          </w:rPr>
          <w:t xml:space="preserve">2.1.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Предоставление документации</w:t>
        </w:r>
        <w:r>
          <w:rPr>
            <w:rStyle w:val="1441"/>
          </w:rPr>
          <w:t xml:space="preserve"> о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7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4" w:anchor="_Toc14" w:history="1">
        <w:r>
          <w:rPr>
            <w:rFonts w:ascii="Times New Roman" w:hAnsi="Times New Roman" w:eastAsia="Times New Roman" w:cs="Times New Roman"/>
          </w:rPr>
          <w:t xml:space="preserve">2.2.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Разъяснение положений документации о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7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5" w:anchor="_Toc15" w:history="1">
        <w:r>
          <w:rPr>
            <w:rFonts w:ascii="Times New Roman" w:hAnsi="Times New Roman" w:eastAsia="Times New Roman" w:cs="Times New Roman"/>
          </w:rPr>
          <w:t xml:space="preserve">2.3.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Внесение изменений в извещение о </w:t>
        </w:r>
        <w:r>
          <w:rPr>
            <w:rStyle w:val="1441"/>
          </w:rPr>
          <w:t xml:space="preserve">закупке и/или документацию о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8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6" w:anchor="_Toc16" w:history="1">
        <w:r>
          <w:rPr>
            <w:rFonts w:ascii="Times New Roman" w:hAnsi="Times New Roman" w:eastAsia="Times New Roman" w:cs="Times New Roman"/>
          </w:rPr>
          <w:t xml:space="preserve">2.4.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Отмена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8</w:t>
          <w:fldChar w:fldCharType="end"/>
        </w:r>
      </w:hyperlink>
      <w:r/>
    </w:p>
    <w:p>
      <w:pPr>
        <w:pStyle w:val="1411"/>
        <w:tabs>
          <w:tab w:val="left" w:pos="567" w:leader="none"/>
          <w:tab w:val="right" w:pos="10195" w:leader="dot"/>
        </w:tabs>
      </w:pPr>
      <w:hyperlink w:tooltip="#_Toc17" w:anchor="_Toc17" w:history="1">
        <w:r>
          <w:rPr>
            <w:rFonts w:ascii="Times New Roman" w:hAnsi="Times New Roman" w:eastAsia="Times New Roman" w:cs="Times New Roman"/>
          </w:rPr>
          <w:t xml:space="preserve">3.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СОДЕРЖАНИЮ ЗАЯВКИ НА УЧАСТИЕ В </w:t>
        </w:r>
        <w:r>
          <w:rPr>
            <w:rStyle w:val="1441"/>
          </w:rPr>
          <w:t xml:space="preserve">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8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8" w:anchor="_Toc18" w:history="1">
        <w:r>
          <w:rPr>
            <w:rFonts w:ascii="Times New Roman" w:hAnsi="Times New Roman" w:eastAsia="Times New Roman" w:cs="Times New Roman"/>
          </w:rPr>
          <w:t xml:space="preserve">3.1.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оформлению заявки на участие в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8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19" w:anchor="_Toc19" w:history="1">
        <w:r>
          <w:rPr>
            <w:rFonts w:ascii="Times New Roman" w:hAnsi="Times New Roman" w:eastAsia="Times New Roman" w:cs="Times New Roman"/>
          </w:rPr>
          <w:t xml:space="preserve">3.2.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Язык документов, входящих в состав заявки на учас</w:t>
        </w:r>
        <w:r>
          <w:rPr>
            <w:rStyle w:val="1441"/>
          </w:rPr>
          <w:t xml:space="preserve">тие в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9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0" w:anchor="_Toc20" w:history="1">
        <w:r>
          <w:rPr>
            <w:rFonts w:ascii="Times New Roman" w:hAnsi="Times New Roman" w:eastAsia="Times New Roman" w:cs="Times New Roman"/>
          </w:rPr>
          <w:t xml:space="preserve">3.3.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валюте заявки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9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1" w:anchor="_Toc21" w:history="1">
        <w:r>
          <w:rPr>
            <w:rFonts w:ascii="Times New Roman" w:hAnsi="Times New Roman" w:eastAsia="Times New Roman" w:cs="Times New Roman"/>
          </w:rPr>
          <w:t xml:space="preserve">3.4.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составу заявки на участие в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9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2" w:anchor="_Toc22" w:history="1">
        <w:r>
          <w:rPr>
            <w:rFonts w:ascii="Times New Roman" w:hAnsi="Times New Roman" w:eastAsia="Times New Roman" w:cs="Times New Roman"/>
          </w:rPr>
          <w:t xml:space="preserve">3.5.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описанию предложения участника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10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3" w:anchor="_Toc23" w:history="1">
        <w:r>
          <w:rPr>
            <w:rFonts w:ascii="Times New Roman" w:hAnsi="Times New Roman" w:eastAsia="Times New Roman" w:cs="Times New Roman"/>
          </w:rPr>
          <w:t xml:space="preserve">3.6.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обеспечению заявок на участи</w:t>
        </w:r>
        <w:r>
          <w:rPr>
            <w:rStyle w:val="1441"/>
          </w:rPr>
          <w:t xml:space="preserve">е в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11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4" w:anchor="_Toc24" w:history="1">
        <w:r>
          <w:rPr>
            <w:rFonts w:ascii="Times New Roman" w:hAnsi="Times New Roman" w:eastAsia="Times New Roman" w:cs="Times New Roman"/>
          </w:rPr>
          <w:t xml:space="preserve">3.7.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14</w:t>
          <w:fldChar w:fldCharType="end"/>
        </w:r>
      </w:hyperlink>
      <w:r/>
    </w:p>
    <w:p>
      <w:pPr>
        <w:pStyle w:val="1411"/>
        <w:tabs>
          <w:tab w:val="left" w:pos="567" w:leader="none"/>
          <w:tab w:val="right" w:pos="10195" w:leader="dot"/>
        </w:tabs>
      </w:pPr>
      <w:hyperlink w:tooltip="#_Toc25" w:anchor="_Toc25" w:history="1">
        <w:r>
          <w:rPr>
            <w:rFonts w:ascii="Times New Roman" w:hAnsi="Times New Roman" w:eastAsia="Times New Roman" w:cs="Times New Roman"/>
          </w:rPr>
          <w:t xml:space="preserve">4.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ПОДАЧА ЗАЯВОК НА УЧАСТИЕ В 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16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6" w:anchor="_Toc26" w:history="1">
        <w:r>
          <w:rPr>
            <w:rFonts w:ascii="Times New Roman" w:hAnsi="Times New Roman" w:eastAsia="Times New Roman" w:cs="Times New Roman"/>
          </w:rPr>
          <w:t xml:space="preserve">4.1.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Порядок, место, дата начала и дата окончания срока подачи заявок на участие в </w:t>
        </w:r>
        <w:r>
          <w:rPr>
            <w:rStyle w:val="1441"/>
          </w:rPr>
          <w:t xml:space="preserve">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16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7" w:anchor="_Toc27" w:history="1">
        <w:r>
          <w:rPr>
            <w:rFonts w:ascii="Times New Roman" w:hAnsi="Times New Roman" w:eastAsia="Times New Roman" w:cs="Times New Roman"/>
          </w:rPr>
          <w:t xml:space="preserve">4.2.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Изменения и отзыв заявок на участие в </w:t>
        </w:r>
        <w:r>
          <w:rPr>
            <w:rStyle w:val="1441"/>
          </w:rPr>
          <w:t xml:space="preserve">закупке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16</w:t>
          <w:fldChar w:fldCharType="end"/>
        </w:r>
      </w:hyperlink>
      <w:r/>
    </w:p>
    <w:p>
      <w:pPr>
        <w:pStyle w:val="1411"/>
        <w:tabs>
          <w:tab w:val="left" w:pos="567" w:leader="none"/>
          <w:tab w:val="right" w:pos="10195" w:leader="dot"/>
        </w:tabs>
      </w:pPr>
      <w:hyperlink w:tooltip="#_Toc28" w:anchor="_Toc28" w:history="1">
        <w:r>
          <w:rPr>
            <w:rFonts w:ascii="Times New Roman" w:hAnsi="Times New Roman" w:eastAsia="Times New Roman" w:cs="Times New Roman"/>
          </w:rPr>
          <w:t xml:space="preserve">5.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ПОРЯДОК ПРОВЕДЕНИЯ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16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29" w:anchor="_Toc29" w:history="1">
        <w:r>
          <w:rPr>
            <w:rFonts w:ascii="Times New Roman" w:hAnsi="Times New Roman" w:eastAsia="Times New Roman" w:cs="Times New Roman"/>
          </w:rPr>
          <w:t xml:space="preserve">5.1.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Закупочная комиссия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16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0" w:anchor="_Toc30" w:history="1">
        <w:r>
          <w:rPr>
            <w:rFonts w:ascii="Times New Roman" w:hAnsi="Times New Roman" w:eastAsia="Times New Roman" w:cs="Times New Roman"/>
          </w:rPr>
          <w:t xml:space="preserve">5.2.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процедуре рассмотрения, оценки и сопоставления заявок участников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16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1" w:anchor="_Toc31" w:history="1">
        <w:r>
          <w:rPr>
            <w:rFonts w:ascii="Times New Roman" w:hAnsi="Times New Roman" w:eastAsia="Times New Roman" w:cs="Times New Roman"/>
          </w:rPr>
          <w:t xml:space="preserve">5.3.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Критерии оценки заявок участников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17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2" w:anchor="_Toc32" w:history="1">
        <w:r>
          <w:rPr>
            <w:rFonts w:ascii="Times New Roman" w:hAnsi="Times New Roman" w:eastAsia="Times New Roman" w:cs="Times New Roman"/>
          </w:rPr>
          <w:t xml:space="preserve">5.4.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Особенности осуществления рассмотрения общих частей заявок.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18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3" w:anchor="_Toc33" w:history="1">
        <w:r>
          <w:rPr>
            <w:rFonts w:ascii="Times New Roman" w:hAnsi="Times New Roman" w:eastAsia="Times New Roman" w:cs="Times New Roman"/>
          </w:rPr>
          <w:t xml:space="preserve">5.5.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Особенности осуществления рассмотрения и сопоставления ценовых предложений участников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18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4" w:anchor="_Toc34" w:history="1">
        <w:r>
          <w:rPr>
            <w:rFonts w:ascii="Times New Roman" w:hAnsi="Times New Roman" w:eastAsia="Times New Roman" w:cs="Times New Roman"/>
          </w:rPr>
          <w:t xml:space="preserve">5.6.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Переторж</w:t>
        </w:r>
        <w:r>
          <w:rPr>
            <w:rStyle w:val="1441"/>
          </w:rPr>
          <w:t xml:space="preserve">ка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19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5" w:anchor="_Toc35" w:history="1">
        <w:r>
          <w:rPr>
            <w:rFonts w:ascii="Times New Roman" w:hAnsi="Times New Roman" w:eastAsia="Times New Roman" w:cs="Times New Roman"/>
          </w:rPr>
          <w:t xml:space="preserve">5.7.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Подведение итогов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19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6" w:anchor="_Toc36" w:history="1">
        <w:r>
          <w:rPr>
            <w:rFonts w:ascii="Times New Roman" w:hAnsi="Times New Roman" w:eastAsia="Times New Roman" w:cs="Times New Roman"/>
          </w:rPr>
          <w:t xml:space="preserve">5.8.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Признание закупки несостоявшейся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20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7" w:anchor="_Toc37" w:history="1">
        <w:r>
          <w:rPr>
            <w:rFonts w:ascii="Times New Roman" w:hAnsi="Times New Roman" w:eastAsia="Times New Roman" w:cs="Times New Roman"/>
          </w:rPr>
          <w:t xml:space="preserve">5.9.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Рассмотрение жалоб и обращений участников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20</w:t>
          <w:fldChar w:fldCharType="end"/>
        </w:r>
      </w:hyperlink>
      <w:r/>
    </w:p>
    <w:p>
      <w:pPr>
        <w:pStyle w:val="1411"/>
        <w:tabs>
          <w:tab w:val="left" w:pos="567" w:leader="none"/>
          <w:tab w:val="right" w:pos="10195" w:leader="dot"/>
        </w:tabs>
      </w:pPr>
      <w:hyperlink w:tooltip="#_Toc38" w:anchor="_Toc38" w:history="1">
        <w:r>
          <w:rPr>
            <w:rFonts w:ascii="Times New Roman" w:hAnsi="Times New Roman" w:eastAsia="Times New Roman" w:cs="Times New Roman"/>
          </w:rPr>
          <w:t xml:space="preserve">6.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ЗАКЛЮЧЕНИЕ, ИЗМЕНЕНИЕ И РАСТОРЖЕНИЕ ДОГОВОРА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20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39" w:anchor="_Toc39" w:history="1">
        <w:r>
          <w:rPr>
            <w:rFonts w:ascii="Times New Roman" w:hAnsi="Times New Roman" w:eastAsia="Times New Roman" w:cs="Times New Roman"/>
          </w:rPr>
          <w:t xml:space="preserve">6.1.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Срок и порядок заключения договора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20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40" w:anchor="_Toc40" w:history="1">
        <w:r>
          <w:rPr>
            <w:rFonts w:ascii="Times New Roman" w:hAnsi="Times New Roman" w:eastAsia="Times New Roman" w:cs="Times New Roman"/>
          </w:rPr>
          <w:t xml:space="preserve">6.2.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22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  <w:rPr>
          <w:smallCaps/>
        </w:rPr>
      </w:pPr>
      <w:hyperlink w:tooltip="#_Toc41" w:anchor="_Toc41" w:history="1">
        <w:r>
          <w:rPr>
            <w:rFonts w:ascii="Times New Roman" w:hAnsi="Times New Roman" w:eastAsia="Times New Roman" w:cs="Times New Roman"/>
          </w:rPr>
          <w:t xml:space="preserve">6.3.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rPr>
            <w:rStyle w:val="1441"/>
            <w:smallCaps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23</w:t>
          <w:fldChar w:fldCharType="end"/>
        </w:r>
      </w:hyperlink>
      <w:r>
        <w:rPr>
          <w:smallCaps/>
        </w:rPr>
      </w:r>
    </w:p>
    <w:p>
      <w:pPr>
        <w:pStyle w:val="1412"/>
        <w:tabs>
          <w:tab w:val="left" w:pos="850" w:leader="none"/>
          <w:tab w:val="right" w:pos="10195" w:leader="dot"/>
        </w:tabs>
      </w:pPr>
      <w:hyperlink w:tooltip="#_Toc42" w:anchor="_Toc42" w:history="1">
        <w:r>
          <w:rPr>
            <w:rFonts w:ascii="Times New Roman" w:hAnsi="Times New Roman" w:eastAsia="Times New Roman" w:cs="Times New Roman"/>
          </w:rPr>
          <w:t xml:space="preserve">6.4.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Отказ от заключения договора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26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43" w:anchor="_Toc43" w:history="1">
        <w:r>
          <w:rPr>
            <w:rFonts w:ascii="Times New Roman" w:hAnsi="Times New Roman" w:eastAsia="Times New Roman" w:cs="Times New Roman"/>
          </w:rPr>
          <w:t xml:space="preserve">6.5.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Изменение и расторжение договора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27</w:t>
          <w:fldChar w:fldCharType="end"/>
        </w:r>
      </w:hyperlink>
      <w:r/>
    </w:p>
    <w:p>
      <w:pPr>
        <w:pStyle w:val="1412"/>
        <w:tabs>
          <w:tab w:val="left" w:pos="850" w:leader="none"/>
          <w:tab w:val="right" w:pos="10195" w:leader="dot"/>
        </w:tabs>
      </w:pPr>
      <w:hyperlink w:tooltip="#_Toc44" w:anchor="_Toc44" w:history="1">
        <w:r>
          <w:rPr>
            <w:rFonts w:ascii="Times New Roman" w:hAnsi="Times New Roman" w:eastAsia="Times New Roman" w:cs="Times New Roman"/>
          </w:rPr>
          <w:t xml:space="preserve">6.6.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Закупка продукции с разбиением заказа на лоты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27</w:t>
          <w:fldChar w:fldCharType="end"/>
        </w:r>
      </w:hyperlink>
      <w:r/>
    </w:p>
    <w:p>
      <w:pPr>
        <w:pStyle w:val="1411"/>
        <w:tabs>
          <w:tab w:val="left" w:pos="567" w:leader="none"/>
          <w:tab w:val="right" w:pos="10195" w:leader="dot"/>
        </w:tabs>
        <w:rPr>
          <w:rStyle w:val="1392"/>
          <w:rFonts w:ascii="Times New Roman" w:hAnsi="Times New Roman" w:cs="Times New Roman"/>
        </w:rPr>
      </w:pPr>
      <w:hyperlink w:tooltip="#_Toc45" w:anchor="_Toc45" w:history="1">
        <w:r>
          <w:rPr>
            <w:rFonts w:ascii="Times New Roman" w:hAnsi="Times New Roman" w:eastAsia="Times New Roman" w:cs="Times New Roman"/>
          </w:rPr>
          <w:t xml:space="preserve">II.</w:t>
        </w:r>
        <w:r>
          <w:tab/>
        </w:r>
        <w:r>
          <w:rPr>
            <w:rStyle w:val="1441"/>
          </w:rPr>
        </w:r>
        <w:r>
          <w:rPr>
            <w:rStyle w:val="1441"/>
            <w:rFonts w:ascii="Times New Roman" w:hAnsi="Times New Roman" w:cs="Times New Roman"/>
          </w:rPr>
          <w:t xml:space="preserve">ИНФОРМАЦИОННАЯ КАРТА </w:t>
        </w:r>
        <w:r>
          <w:rPr>
            <w:rStyle w:val="1441"/>
            <w:rFonts w:ascii="Times New Roman" w:hAnsi="Times New Roman" w:cs="Times New Roman"/>
          </w:rPr>
          <w:t xml:space="preserve">ЗАКУПКИ</w:t>
        </w:r>
        <w:r>
          <w:rPr>
            <w:rStyle w:val="1441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29</w:t>
          <w:fldChar w:fldCharType="end"/>
        </w:r>
      </w:hyperlink>
      <w:r>
        <w:rPr>
          <w:rStyle w:val="1392"/>
          <w:rFonts w:ascii="Times New Roman" w:hAnsi="Times New Roman" w:cs="Times New Roman"/>
        </w:rPr>
      </w:r>
    </w:p>
    <w:p>
      <w:pPr>
        <w:pStyle w:val="1411"/>
        <w:tabs>
          <w:tab w:val="left" w:pos="567" w:leader="none"/>
          <w:tab w:val="right" w:pos="10195" w:leader="dot"/>
        </w:tabs>
        <w:rPr>
          <w:rStyle w:val="1392"/>
          <w:rFonts w:ascii="Times New Roman" w:hAnsi="Times New Roman" w:cs="Times New Roman"/>
        </w:rPr>
      </w:pPr>
      <w:hyperlink w:tooltip="#_Toc46" w:anchor="_Toc46" w:history="1">
        <w:r>
          <w:rPr>
            <w:rFonts w:ascii="Times New Roman" w:hAnsi="Times New Roman" w:eastAsia="Times New Roman" w:cs="Times New Roman"/>
          </w:rPr>
          <w:t xml:space="preserve">III.</w:t>
        </w:r>
        <w:r>
          <w:tab/>
        </w:r>
        <w:r>
          <w:rPr>
            <w:rStyle w:val="1441"/>
          </w:rPr>
        </w:r>
        <w:r>
          <w:rPr>
            <w:rStyle w:val="1441"/>
            <w:rFonts w:ascii="Times New Roman" w:hAnsi="Times New Roman" w:cs="Times New Roman"/>
          </w:rPr>
          <w:t xml:space="preserve">ОБРАЗЦЫ ФОРМ ДЛЯ ЗАПОЛНЕНИЯ УЧАСТНИКАМИ ЗАКУПКИ</w:t>
        </w:r>
        <w:r>
          <w:rPr>
            <w:rStyle w:val="1441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Style w:val="1392"/>
          <w:rFonts w:ascii="Times New Roman" w:hAnsi="Times New Roman" w:cs="Times New Roman"/>
        </w:rPr>
      </w:r>
    </w:p>
    <w:p>
      <w:pPr>
        <w:pStyle w:val="1412"/>
        <w:tabs>
          <w:tab w:val="right" w:pos="10195" w:leader="dot"/>
        </w:tabs>
      </w:pPr>
      <w:hyperlink w:tooltip="#_Toc47" w:anchor="_Toc47" w:history="1">
        <w:r>
          <w:rPr>
            <w:rStyle w:val="1441"/>
          </w:rPr>
        </w:r>
        <w:r>
          <w:rPr>
            <w:rStyle w:val="1441"/>
          </w:rPr>
          <w:t xml:space="preserve">ФОРМА ТЕХНИЧЕСКОЕ ПРЕДЛОЖЕНИЕ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</w:p>
    <w:p>
      <w:pPr>
        <w:pStyle w:val="1412"/>
        <w:tabs>
          <w:tab w:val="right" w:pos="10195" w:leader="dot"/>
        </w:tabs>
      </w:pPr>
      <w:hyperlink w:tooltip="#_Toc48" w:anchor="_Toc48" w:history="1">
        <w:r>
          <w:rPr>
            <w:rStyle w:val="1441"/>
          </w:rPr>
        </w:r>
        <w:r>
          <w:rPr>
            <w:rStyle w:val="1441"/>
          </w:rPr>
          <w:t xml:space="preserve">ФОРМА ПИСЬМО О ПОДАЧЕ ОФЕРТЫ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50</w:t>
          <w:fldChar w:fldCharType="end"/>
        </w:r>
      </w:hyperlink>
      <w:r/>
    </w:p>
    <w:p>
      <w:pPr>
        <w:pStyle w:val="1412"/>
        <w:tabs>
          <w:tab w:val="right" w:pos="10195" w:leader="dot"/>
        </w:tabs>
      </w:pPr>
      <w:hyperlink w:tooltip="#_Toc49" w:anchor="_Toc49" w:history="1">
        <w:r>
          <w:rPr>
            <w:rStyle w:val="1441"/>
          </w:rPr>
        </w:r>
        <w:r>
          <w:rPr>
            <w:rStyle w:val="1441"/>
          </w:rPr>
  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53</w:t>
          <w:fldChar w:fldCharType="end"/>
        </w:r>
      </w:hyperlink>
      <w:r/>
    </w:p>
    <w:p>
      <w:pPr>
        <w:pStyle w:val="1412"/>
        <w:tabs>
          <w:tab w:val="right" w:pos="10195" w:leader="dot"/>
        </w:tabs>
      </w:pPr>
      <w:hyperlink w:tooltip="#_Toc50" w:anchor="_Toc50" w:history="1">
        <w:r>
          <w:rPr>
            <w:rStyle w:val="1441"/>
          </w:rPr>
        </w:r>
        <w:r>
          <w:rPr>
            <w:rStyle w:val="1441"/>
          </w:rPr>
          <w:t xml:space="preserve">ФОРМА АНКЕТА УЧАСТНИКА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55</w:t>
          <w:fldChar w:fldCharType="end"/>
        </w:r>
      </w:hyperlink>
      <w:r/>
    </w:p>
    <w:p>
      <w:pPr>
        <w:pStyle w:val="1412"/>
        <w:tabs>
          <w:tab w:val="right" w:pos="10195" w:leader="dot"/>
        </w:tabs>
      </w:pPr>
      <w:hyperlink w:tooltip="#_Toc51" w:anchor="_Toc51" w:history="1">
        <w:r>
          <w:rPr>
            <w:rStyle w:val="1441"/>
          </w:rPr>
        </w:r>
        <w:r>
          <w:rPr>
            <w:rStyle w:val="1441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59</w:t>
          <w:fldChar w:fldCharType="end"/>
        </w:r>
      </w:hyperlink>
      <w:r/>
    </w:p>
    <w:p>
      <w:pPr>
        <w:pStyle w:val="1412"/>
        <w:tabs>
          <w:tab w:val="right" w:pos="10195" w:leader="dot"/>
        </w:tabs>
      </w:pPr>
      <w:hyperlink w:tooltip="#_Toc52" w:anchor="_Toc52" w:history="1">
        <w:r>
          <w:rPr>
            <w:rStyle w:val="1441"/>
          </w:rPr>
        </w:r>
        <w:r>
          <w:rPr>
            <w:rStyle w:val="1441"/>
          </w:rPr>
          <w:t xml:space="preserve">ФОРМА СПРАВКА (ИНФОРМАЦИЯ) О СОБСТВЕННИКАХ УЧАСТНИКА ЗАКУПКИ (ВКЛЮЧАЯ КОНЕЧНЫХ БЕНЕФИЦИАРОВ)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</w:p>
    <w:p>
      <w:pPr>
        <w:pStyle w:val="1412"/>
        <w:tabs>
          <w:tab w:val="right" w:pos="10195" w:leader="dot"/>
        </w:tabs>
      </w:pPr>
      <w:hyperlink w:tooltip="#_Toc53" w:anchor="_Toc53" w:history="1">
        <w:r>
          <w:rPr>
            <w:rStyle w:val="1441"/>
          </w:rPr>
        </w:r>
        <w:r>
          <w:rPr>
            <w:rStyle w:val="1441"/>
          </w:rPr>
          <w:t xml:space="preserve">ФОРМА СОГЛАСИЕ НА ОБРАБОТКУ ПЕРСОНАЛЬНЫХ ДАННЫХ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65</w:t>
          <w:fldChar w:fldCharType="end"/>
        </w:r>
      </w:hyperlink>
      <w:r/>
    </w:p>
    <w:p>
      <w:pPr>
        <w:pStyle w:val="1412"/>
        <w:tabs>
          <w:tab w:val="right" w:pos="10195" w:leader="dot"/>
        </w:tabs>
      </w:pPr>
      <w:hyperlink w:tooltip="#_Toc54" w:anchor="_Toc54" w:history="1">
        <w:r>
          <w:rPr>
            <w:rStyle w:val="1441"/>
          </w:rPr>
        </w:r>
        <w:r>
          <w:rPr>
            <w:rStyle w:val="1441"/>
          </w:rPr>
          <w:t xml:space="preserve">ФОРМА АНТИКОРРУПЦИОННЫЕ ОБЯЗАТЕЛЬСТВА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67</w:t>
          <w:fldChar w:fldCharType="end"/>
        </w:r>
      </w:hyperlink>
      <w:r/>
    </w:p>
    <w:p>
      <w:pPr>
        <w:pStyle w:val="1412"/>
        <w:tabs>
          <w:tab w:val="right" w:pos="10195" w:leader="dot"/>
        </w:tabs>
        <w:rPr>
          <w:highlight w:val="none"/>
        </w:rPr>
      </w:pPr>
      <w:hyperlink w:tooltip="#_Toc55" w:anchor="_Toc55" w:history="1">
        <w:r>
          <w:rPr>
            <w:rStyle w:val="1441"/>
          </w:rPr>
        </w:r>
        <w:r>
          <w:rPr>
            <w:rStyle w:val="1441"/>
            <w:highlight w:val="none"/>
          </w:rPr>
          <w:t xml:space="preserve">ФОРМА СПРАВКА О ПЕРЕЧНЕ И ОБЪЕМАХ ВЫПОЛНЕНИЯ АНАЛОГИЧНЫХ ДОГОВОРОВ</w:t>
        </w:r>
        <w:r>
          <w:rPr>
            <w:rStyle w:val="1441"/>
            <w:highlight w:val="none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70</w:t>
          <w:fldChar w:fldCharType="end"/>
        </w:r>
      </w:hyperlink>
      <w:r>
        <w:rPr>
          <w:highlight w:val="none"/>
        </w:rPr>
      </w:r>
    </w:p>
    <w:p>
      <w:pPr>
        <w:pStyle w:val="1412"/>
        <w:tabs>
          <w:tab w:val="right" w:pos="10195" w:leader="dot"/>
        </w:tabs>
        <w:rPr>
          <w:rFonts w:eastAsiaTheme="majorEastAsia"/>
          <w:highlight w:val="none"/>
        </w:rPr>
      </w:pPr>
      <w:hyperlink w:tooltip="#_Toc56" w:anchor="_Toc56" w:history="1">
        <w:r>
          <w:rPr>
            <w:rStyle w:val="1441"/>
          </w:rPr>
        </w:r>
        <w:r>
          <w:rPr>
            <w:rStyle w:val="1441"/>
            <w:highlight w:val="none"/>
          </w:rPr>
          <w:t xml:space="preserve">ФОРМА КОММЕРЧЕСКОЕ П</w:t>
        </w:r>
        <w:r>
          <w:rPr>
            <w:rStyle w:val="1441"/>
            <w:highlight w:val="none"/>
          </w:rPr>
          <w:t xml:space="preserve">РЕДЛОЖЕНИЕ</w:t>
        </w:r>
        <w:r>
          <w:rPr>
            <w:rStyle w:val="1441"/>
            <w:rFonts w:eastAsiaTheme="majorEastAsia"/>
            <w:highlight w:val="none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72</w:t>
          <w:fldChar w:fldCharType="end"/>
        </w:r>
      </w:hyperlink>
      <w:r>
        <w:rPr>
          <w:rFonts w:eastAsiaTheme="majorEastAsia"/>
          <w:highlight w:val="none"/>
        </w:rPr>
      </w:r>
    </w:p>
    <w:p>
      <w:pPr>
        <w:pStyle w:val="1411"/>
        <w:tabs>
          <w:tab w:val="left" w:pos="567" w:leader="none"/>
          <w:tab w:val="right" w:pos="10195" w:leader="dot"/>
        </w:tabs>
        <w:rPr>
          <w:rStyle w:val="1392"/>
          <w:rFonts w:ascii="Times New Roman" w:hAnsi="Times New Roman" w:cs="Times New Roman"/>
          <w:caps/>
        </w:rPr>
      </w:pPr>
      <w:hyperlink w:tooltip="#_Toc57" w:anchor="_Toc57" w:history="1">
        <w:r>
          <w:rPr>
            <w:rFonts w:ascii="Times New Roman" w:hAnsi="Times New Roman" w:eastAsia="Times New Roman" w:cs="Times New Roman"/>
          </w:rPr>
          <w:t xml:space="preserve">IV.</w:t>
        </w:r>
        <w:r>
          <w:tab/>
        </w:r>
        <w:r>
          <w:rPr>
            <w:rStyle w:val="1441"/>
          </w:rPr>
        </w:r>
        <w:r>
          <w:rPr>
            <w:rStyle w:val="1441"/>
            <w:rFonts w:ascii="Times New Roman" w:hAnsi="Times New Roman" w:cs="Times New Roman"/>
            <w:caps/>
          </w:rPr>
          <w:t xml:space="preserve">ПРОЕКТ ДОГОВОРА</w:t>
        </w:r>
        <w:r>
          <w:rPr>
            <w:rStyle w:val="1441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73</w:t>
          <w:fldChar w:fldCharType="end"/>
        </w:r>
      </w:hyperlink>
      <w:r>
        <w:rPr>
          <w:rStyle w:val="1392"/>
          <w:rFonts w:ascii="Times New Roman" w:hAnsi="Times New Roman" w:cs="Times New Roman"/>
          <w:caps/>
        </w:rPr>
      </w:r>
    </w:p>
    <w:p>
      <w:pPr>
        <w:pStyle w:val="1411"/>
        <w:tabs>
          <w:tab w:val="left" w:pos="567" w:leader="none"/>
          <w:tab w:val="right" w:pos="10195" w:leader="dot"/>
        </w:tabs>
        <w:rPr>
          <w:rStyle w:val="1392"/>
          <w:rFonts w:ascii="Times New Roman" w:hAnsi="Times New Roman" w:cs="Times New Roman"/>
        </w:rPr>
      </w:pPr>
      <w:hyperlink w:tooltip="#_Toc58" w:anchor="_Toc58" w:history="1">
        <w:r>
          <w:rPr>
            <w:rFonts w:ascii="Times New Roman" w:hAnsi="Times New Roman" w:eastAsia="Times New Roman" w:cs="Times New Roman"/>
          </w:rPr>
          <w:t xml:space="preserve">V.</w:t>
        </w:r>
        <w:r>
          <w:tab/>
        </w:r>
        <w:r>
          <w:rPr>
            <w:rStyle w:val="1441"/>
          </w:rPr>
        </w:r>
        <w:r>
          <w:rPr>
            <w:rStyle w:val="1441"/>
            <w:rFonts w:ascii="Times New Roman" w:hAnsi="Times New Roman" w:cs="Times New Roman"/>
          </w:rPr>
          <w:t xml:space="preserve">ТЕХНИЧЕСКАЯ ЧАСТЬ</w:t>
        </w:r>
        <w:r>
          <w:rPr>
            <w:rStyle w:val="1441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74</w:t>
          <w:fldChar w:fldCharType="end"/>
        </w:r>
      </w:hyperlink>
      <w:r>
        <w:rPr>
          <w:rStyle w:val="1392"/>
          <w:rFonts w:ascii="Times New Roman" w:hAnsi="Times New Roman" w:cs="Times New Roman"/>
        </w:rPr>
      </w:r>
    </w:p>
    <w:p>
      <w:pPr>
        <w:pStyle w:val="1411"/>
        <w:tabs>
          <w:tab w:val="left" w:pos="567" w:leader="none"/>
          <w:tab w:val="right" w:pos="10195" w:leader="dot"/>
        </w:tabs>
        <w:rPr>
          <w:rStyle w:val="1392"/>
          <w:rFonts w:ascii="Times New Roman" w:hAnsi="Times New Roman" w:cs="Times New Roman"/>
        </w:rPr>
      </w:pPr>
      <w:hyperlink w:tooltip="#_Toc59" w:anchor="_Toc59" w:history="1">
        <w:r>
          <w:rPr>
            <w:rFonts w:ascii="Times New Roman" w:hAnsi="Times New Roman" w:eastAsia="Times New Roman" w:cs="Times New Roman"/>
          </w:rPr>
          <w:t xml:space="preserve">VI.</w:t>
        </w:r>
        <w:r>
          <w:tab/>
        </w:r>
        <w:r>
          <w:rPr>
            <w:rStyle w:val="1441"/>
          </w:rPr>
        </w:r>
        <w:r>
          <w:rPr>
            <w:rStyle w:val="1441"/>
            <w:rFonts w:ascii="Times New Roman" w:hAnsi="Times New Roman" w:cs="Times New Roman"/>
          </w:rPr>
          <w:t xml:space="preserve">ОБОСНОВАНИЕ НМЦ</w:t>
        </w:r>
        <w:r>
          <w:rPr>
            <w:rStyle w:val="1441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75</w:t>
          <w:fldChar w:fldCharType="end"/>
        </w:r>
      </w:hyperlink>
      <w:r>
        <w:rPr>
          <w:rStyle w:val="1392"/>
          <w:rFonts w:ascii="Times New Roman" w:hAnsi="Times New Roman" w:cs="Times New Roman"/>
        </w:rPr>
      </w:r>
    </w:p>
    <w:p>
      <w:pPr>
        <w:pStyle w:val="1411"/>
        <w:tabs>
          <w:tab w:val="left" w:pos="850" w:leader="none"/>
          <w:tab w:val="right" w:pos="10195" w:leader="dot"/>
        </w:tabs>
      </w:pPr>
      <w:hyperlink w:tooltip="#_Toc60" w:anchor="_Toc60" w:history="1">
        <w:r>
          <w:rPr>
            <w:rFonts w:ascii="Times New Roman" w:hAnsi="Times New Roman" w:eastAsia="Times New Roman" w:cs="Times New Roman"/>
          </w:rPr>
          <w:t xml:space="preserve">VII.</w:t>
        </w:r>
        <w:r>
          <w:tab/>
        </w:r>
        <w:r>
          <w:rPr>
            <w:rStyle w:val="1441"/>
          </w:rPr>
        </w:r>
        <w:r>
          <w:rPr>
            <w:rStyle w:val="1441"/>
          </w:rPr>
          <w:t xml:space="preserve">ТИПОВ</w:t>
        </w:r>
        <w:r>
          <w:rPr>
            <w:rStyle w:val="1441"/>
            <w:rFonts w:eastAsiaTheme="majorEastAsia"/>
          </w:rPr>
          <w:t xml:space="preserve">ЫЕ</w:t>
        </w:r>
        <w:r>
          <w:rPr>
            <w:rStyle w:val="1441"/>
          </w:rPr>
          <w:t xml:space="preserve"> ФОРМ</w:t>
        </w:r>
        <w:r>
          <w:rPr>
            <w:rStyle w:val="1441"/>
            <w:rFonts w:eastAsiaTheme="majorEastAsia"/>
          </w:rPr>
          <w:t xml:space="preserve">Ы</w:t>
        </w:r>
        <w:r>
          <w:rPr>
            <w:rStyle w:val="1441"/>
          </w:rPr>
          <w:t xml:space="preserve"> НЕЗАВИСИМ</w:t>
        </w:r>
        <w:r>
          <w:rPr>
            <w:rStyle w:val="1441"/>
            <w:rFonts w:eastAsiaTheme="majorEastAsia"/>
          </w:rPr>
          <w:t xml:space="preserve">ЫХ ГАРАНТИЙ</w:t>
        </w:r>
        <w:r>
          <w:rPr>
            <w:rStyle w:val="1441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76</w:t>
          <w:fldChar w:fldCharType="end"/>
        </w:r>
      </w:hyperlink>
      <w:r/>
    </w:p>
    <w:p>
      <w:pPr>
        <w:pStyle w:val="1411"/>
        <w:tabs>
          <w:tab w:val="left" w:pos="850" w:leader="none"/>
        </w:tabs>
        <w:rPr>
          <w:b w:val="0"/>
          <w:bCs/>
          <w:i/>
          <w:smallCaps/>
          <w:sz w:val="24"/>
          <w:szCs w:val="24"/>
        </w:rPr>
      </w:pPr>
      <w:r>
        <w:rPr>
          <w:i/>
          <w:iCs/>
          <w:smallCaps/>
          <w:sz w:val="24"/>
          <w:szCs w:val="24"/>
        </w:rPr>
      </w:r>
      <w:r>
        <w:rPr>
          <w:rStyle w:val="1392"/>
          <w:rFonts w:ascii="Times New Roman" w:hAnsi="Times New Roman" w:cs="Times New Roman"/>
        </w:rPr>
      </w: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i/>
          <w:smallCaps/>
          <w:sz w:val="24"/>
          <w:szCs w:val="24"/>
        </w:rPr>
      </w:r>
      <w:r/>
    </w:p>
    <w:p>
      <w:pPr>
        <w:pStyle w:val="1221"/>
        <w:numPr>
          <w:ilvl w:val="0"/>
          <w:numId w:val="4"/>
        </w:numPr>
        <w:ind w:left="0" w:firstLine="567"/>
        <w:keepNext w:val="0"/>
        <w:spacing w:before="0" w:after="0"/>
        <w:rPr>
          <w:rStyle w:val="1392"/>
          <w:b w:val="0"/>
          <w:bCs w:val="0"/>
          <w:caps/>
          <w:sz w:val="28"/>
          <w:szCs w:val="28"/>
        </w:rPr>
      </w:pPr>
      <w:r/>
      <w:bookmarkStart w:id="212" w:name="_Toc2"/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End w:id="1"/>
      <w:r/>
      <w:bookmarkEnd w:id="2"/>
      <w:r>
        <w:rPr>
          <w:rStyle w:val="1392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УСЛОВИЯ ПРОВЕДЕНИЯ ЗАКУПКИ</w:t>
      </w:r>
      <w:bookmarkEnd w:id="3"/>
      <w:r>
        <w:rPr>
          <w:rStyle w:val="1392"/>
          <w:b w:val="0"/>
          <w:bCs w:val="0"/>
          <w:caps/>
          <w:sz w:val="28"/>
          <w:szCs w:val="28"/>
        </w:rPr>
      </w:r>
      <w:bookmarkEnd w:id="212"/>
      <w:r/>
      <w:r>
        <w:rPr>
          <w:rStyle w:val="1392"/>
          <w:b w:val="0"/>
          <w:bCs w:val="0"/>
          <w:caps/>
          <w:sz w:val="28"/>
          <w:szCs w:val="28"/>
        </w:rPr>
      </w:r>
    </w:p>
    <w:p>
      <w:r/>
      <w:r/>
    </w:p>
    <w:p>
      <w:pPr>
        <w:pStyle w:val="1221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13" w:name="_Toc3"/>
      <w:r/>
      <w:bookmarkStart w:id="5" w:name="_ОБЩИЕ_ПОЛОЖЕНИЯ"/>
      <w:r/>
      <w:bookmarkStart w:id="6" w:name="_Ref166101247"/>
      <w:r/>
      <w:bookmarkStart w:id="7" w:name="_Ref166101251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>
        <w:rPr>
          <w:sz w:val="24"/>
          <w:szCs w:val="24"/>
        </w:rPr>
      </w:r>
      <w:bookmarkEnd w:id="213"/>
      <w:r/>
      <w:r>
        <w:rPr>
          <w:sz w:val="24"/>
          <w:szCs w:val="24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4" w:name="_Toc4"/>
      <w:r>
        <w:rPr>
          <w:sz w:val="24"/>
          <w:szCs w:val="24"/>
        </w:rPr>
        <w:t xml:space="preserve">Правовой статус документов</w:t>
      </w:r>
      <w:r>
        <w:rPr>
          <w:sz w:val="24"/>
          <w:szCs w:val="24"/>
        </w:rPr>
      </w:r>
      <w:bookmarkEnd w:id="214"/>
      <w:r/>
      <w:r>
        <w:rPr>
          <w:sz w:val="24"/>
          <w:szCs w:val="24"/>
        </w:rPr>
      </w:r>
    </w:p>
    <w:p>
      <w:pPr>
        <w:pStyle w:val="1223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</w:t>
      </w:r>
      <w:r>
        <w:rPr>
          <w:rFonts w:ascii="Times New Roman" w:hAnsi="Times New Roman" w:cs="Times New Roman"/>
          <w:b w:val="0"/>
          <w:bCs w:val="0"/>
        </w:rPr>
        <w:t xml:space="preserve">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</w:t>
      </w:r>
      <w:r>
        <w:rPr>
          <w:rFonts w:ascii="Times New Roman" w:hAnsi="Times New Roman" w:cs="Times New Roman"/>
          <w:b w:val="0"/>
          <w:bCs w:val="0"/>
        </w:rPr>
        <w:t xml:space="preserve">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</w:t>
      </w:r>
      <w:r>
        <w:rPr>
          <w:rFonts w:ascii="Times New Roman" w:hAnsi="Times New Roman" w:cs="Times New Roman"/>
          <w:b w:val="0"/>
          <w:bCs w:val="0"/>
        </w:rPr>
        <w:t xml:space="preserve">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</w:t>
      </w:r>
      <w:r>
        <w:rPr>
          <w:rFonts w:ascii="Times New Roman" w:hAnsi="Times New Roman" w:cs="Times New Roman"/>
          <w:b w:val="0"/>
          <w:bCs w:val="0"/>
        </w:rPr>
        <w:t xml:space="preserve"> в сфере закупок товаров, работ,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</w:t>
      </w:r>
      <w:r>
        <w:rPr>
          <w:rFonts w:ascii="Times New Roman" w:hAnsi="Times New Roman" w:cs="Times New Roman"/>
          <w:b w:val="0"/>
          <w:bCs w:val="0"/>
        </w:rPr>
        <w:t xml:space="preserve">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</w:t>
      </w:r>
      <w:r>
        <w:rPr>
          <w:rFonts w:ascii="Times New Roman" w:hAnsi="Times New Roman" w:cs="Times New Roman"/>
          <w:b w:val="0"/>
          <w:bCs w:val="0"/>
        </w:rPr>
        <w:t xml:space="preserve">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</w:t>
      </w:r>
      <w:r>
        <w:rPr>
          <w:rFonts w:ascii="Times New Roman" w:hAnsi="Times New Roman" w:cs="Times New Roman"/>
          <w:b w:val="0"/>
          <w:bCs w:val="0"/>
        </w:rPr>
        <w:t xml:space="preserve">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5" w:name="_Toc5"/>
      <w:r>
        <w:rPr>
          <w:sz w:val="24"/>
          <w:szCs w:val="24"/>
        </w:rPr>
        <w:t xml:space="preserve">Заказчик, предмет и условия проведения закупки.</w:t>
      </w:r>
      <w:r>
        <w:rPr>
          <w:sz w:val="24"/>
          <w:szCs w:val="24"/>
        </w:rPr>
      </w:r>
      <w:bookmarkEnd w:id="215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 закупку, предмет и услови</w:t>
      </w:r>
      <w:r>
        <w:rPr>
          <w:rFonts w:ascii="Times New Roman" w:hAnsi="Times New Roman" w:cs="Times New Roman"/>
          <w:b w:val="0"/>
          <w:bCs w:val="0"/>
        </w:rPr>
        <w:t xml:space="preserve">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</w:t>
      </w:r>
      <w:r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</w:t>
      </w:r>
      <w:r>
        <w:rPr>
          <w:rFonts w:ascii="Times New Roman" w:hAnsi="Times New Roman" w:cs="Times New Roman"/>
          <w:b w:val="0"/>
          <w:bCs w:val="0"/>
        </w:rPr>
        <w:t xml:space="preserve">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</w:t>
      </w:r>
      <w:r>
        <w:rPr>
          <w:rFonts w:ascii="Times New Roman" w:hAnsi="Times New Roman" w:cs="Times New Roman"/>
          <w:b w:val="0"/>
          <w:bCs w:val="0"/>
        </w:rPr>
        <w:t xml:space="preserve">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6" w:name="_Toc6"/>
      <w:r>
        <w:rPr>
          <w:sz w:val="24"/>
          <w:szCs w:val="24"/>
        </w:rPr>
        <w:t xml:space="preserve">Начальная (максимальная) цена договора (цена лота) </w:t>
      </w:r>
      <w:r>
        <w:rPr>
          <w:sz w:val="24"/>
          <w:szCs w:val="24"/>
        </w:rPr>
      </w:r>
      <w:bookmarkEnd w:id="216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</w:t>
      </w:r>
      <w:r>
        <w:rPr>
          <w:rFonts w:ascii="Times New Roman" w:hAnsi="Times New Roman" w:cs="Times New Roman"/>
          <w:b w:val="0"/>
        </w:rPr>
        <w:t xml:space="preserve">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</w:t>
      </w:r>
      <w:r>
        <w:rPr>
          <w:rFonts w:ascii="Times New Roman" w:hAnsi="Times New Roman" w:cs="Times New Roman"/>
          <w:b w:val="0"/>
        </w:rPr>
        <w:t xml:space="preserve">ие цены договора. 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</w:t>
      </w:r>
      <w:r>
        <w:rPr>
          <w:rFonts w:ascii="Times New Roman" w:hAnsi="Times New Roman" w:cs="Times New Roman"/>
          <w:b w:val="0"/>
        </w:rPr>
        <w:t xml:space="preserve">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441"/>
            <w:rFonts w:ascii="Times New Roman" w:hAnsi="Times New Roman" w:cs="Times New Roman"/>
            <w:b w:val="0"/>
          </w:rPr>
          <w:t xml:space="preserve">Приложении № 2 к ча</w:t>
        </w:r>
        <w:r>
          <w:rPr>
            <w:rStyle w:val="1441"/>
            <w:rFonts w:ascii="Times New Roman" w:hAnsi="Times New Roman" w:cs="Times New Roman"/>
            <w:b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7" w:name="_Toc7"/>
      <w:r/>
      <w:bookmarkStart w:id="15" w:name="_1.4._Требо"/>
      <w:r/>
      <w:bookmarkStart w:id="16" w:name="_Требования_к_участникам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r>
        <w:rPr>
          <w:sz w:val="24"/>
          <w:szCs w:val="24"/>
        </w:rPr>
      </w:r>
      <w:bookmarkEnd w:id="217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76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</w:t>
      </w:r>
      <w:r>
        <w:rPr>
          <w:rFonts w:eastAsiaTheme="minorHAnsi"/>
          <w:sz w:val="24"/>
          <w:szCs w:val="24"/>
          <w:lang w:eastAsia="en-US"/>
        </w:rPr>
        <w:t xml:space="preserve">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</w:t>
      </w:r>
      <w:r>
        <w:rPr>
          <w:rFonts w:eastAsiaTheme="minorHAnsi"/>
          <w:sz w:val="24"/>
          <w:szCs w:val="24"/>
          <w:lang w:eastAsia="en-US"/>
        </w:rPr>
        <w:t xml:space="preserve">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441"/>
            <w:rFonts w:eastAsiaTheme="minorHAnsi"/>
            <w:sz w:val="24"/>
            <w:szCs w:val="24"/>
            <w:lang w:eastAsia="en-US"/>
          </w:rPr>
          <w:t xml:space="preserve">Федеральным законом от 14 и</w:t>
        </w:r>
        <w:r>
          <w:rPr>
            <w:rStyle w:val="1441"/>
            <w:rFonts w:eastAsiaTheme="minorHAnsi"/>
            <w:sz w:val="24"/>
            <w:szCs w:val="24"/>
            <w:lang w:eastAsia="en-US"/>
          </w:rPr>
          <w:t xml:space="preserve">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576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</w:t>
      </w:r>
      <w:r>
        <w:rPr>
          <w:sz w:val="24"/>
          <w:szCs w:val="24"/>
        </w:rPr>
        <w:t xml:space="preserve">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h7gd9qdev457426157" w:history="1">
        <w:r>
          <w:rPr>
            <w:rStyle w:val="1441"/>
            <w:sz w:val="24"/>
            <w:szCs w:val="24"/>
          </w:rPr>
          <w:t xml:space="preserve">Федеральным законом от 14 июля 2022 года № 255-ФЗ «О контроле за деятельностью лиц, находящихся под иностранн</w:t>
        </w:r>
        <w:r>
          <w:rPr>
            <w:rStyle w:val="1441"/>
            <w:sz w:val="24"/>
            <w:szCs w:val="24"/>
          </w:rPr>
          <w:t xml:space="preserve">ым влиянием»</w:t>
        </w:r>
      </w:hyperlink>
      <w:r>
        <w:rPr>
          <w:rStyle w:val="1441"/>
          <w:sz w:val="24"/>
          <w:szCs w:val="24"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14 части I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16 части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</w:t>
      </w:r>
      <w:r>
        <w:rPr>
          <w:rFonts w:ascii="Times New Roman" w:hAnsi="Times New Roman" w:cs="Times New Roman"/>
          <w:b w:val="0"/>
          <w:bCs w:val="0"/>
        </w:rPr>
        <w:t xml:space="preserve">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</w:t>
      </w:r>
      <w:r>
        <w:rPr>
          <w:rFonts w:ascii="Times New Roman" w:hAnsi="Times New Roman" w:cs="Times New Roman"/>
          <w:b w:val="0"/>
          <w:bCs w:val="0"/>
        </w:rPr>
        <w:t xml:space="preserve">ррупционными мерами.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441"/>
            <w:rFonts w:ascii="Times New Roman" w:hAnsi="Times New Roman" w:cs="Times New Roman"/>
            <w:b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441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</w:t>
        </w:r>
        <w:r>
          <w:rPr>
            <w:rStyle w:val="1441"/>
            <w:rFonts w:ascii="Times New Roman" w:hAnsi="Times New Roman" w:cs="Times New Roman"/>
            <w:b w:val="0"/>
          </w:rPr>
          <w:t xml:space="preserve">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Единые_требования_к" w:anchor="_Единые_требования_к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</w:t>
      </w:r>
      <w:r>
        <w:rPr>
          <w:rFonts w:ascii="Times New Roman" w:hAnsi="Times New Roman" w:cs="Times New Roman"/>
          <w:b w:val="0"/>
        </w:rPr>
        <w:t xml:space="preserve"> в состав коллективного участника,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</w:t>
      </w:r>
      <w:r>
        <w:rPr>
          <w:rFonts w:ascii="Times New Roman" w:hAnsi="Times New Roman" w:cs="Times New Roman"/>
          <w:b w:val="0"/>
        </w:rPr>
        <w:t xml:space="preserve">недобросовестных поставщиков и т.п.).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</w:t>
      </w:r>
      <w:r>
        <w:rPr>
          <w:rFonts w:ascii="Times New Roman" w:hAnsi="Times New Roman" w:cs="Times New Roman"/>
          <w:b w:val="0"/>
        </w:rPr>
        <w:t xml:space="preserve"> между членами коллективного участника.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</w:t>
      </w:r>
      <w:r>
        <w:rPr>
          <w:rFonts w:ascii="Times New Roman" w:hAnsi="Times New Roman" w:cs="Times New Roman"/>
          <w:b w:val="0"/>
        </w:rPr>
        <w:t xml:space="preserve">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</w:t>
      </w:r>
      <w:r>
        <w:rPr>
          <w:rFonts w:ascii="Times New Roman" w:hAnsi="Times New Roman" w:cs="Times New Roman"/>
          <w:b w:val="0"/>
        </w:rPr>
        <w:t xml:space="preserve">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 или индивидуальный предприниматель, не </w:t>
      </w:r>
      <w:r>
        <w:rPr>
          <w:rFonts w:ascii="Times New Roman" w:hAnsi="Times New Roman" w:cs="Times New Roman"/>
          <w:b w:val="0"/>
        </w:rPr>
        <w:t xml:space="preserve">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</w:t>
      </w:r>
      <w:r>
        <w:rPr>
          <w:rFonts w:ascii="Times New Roman" w:hAnsi="Times New Roman" w:cs="Times New Roman"/>
          <w:b w:val="0"/>
          <w:bCs w:val="0"/>
        </w:rPr>
        <w:t xml:space="preserve">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</w:t>
      </w:r>
      <w:r>
        <w:rPr>
          <w:rFonts w:ascii="Times New Roman" w:hAnsi="Times New Roman" w:cs="Times New Roman"/>
          <w:b w:val="0"/>
          <w:bCs w:val="0"/>
        </w:rPr>
        <w:t xml:space="preserve">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</w:t>
      </w:r>
      <w:r>
        <w:rPr>
          <w:rFonts w:ascii="Times New Roman" w:hAnsi="Times New Roman" w:cs="Times New Roman"/>
          <w:b w:val="0"/>
          <w:bCs w:val="0"/>
        </w:rPr>
        <w:t xml:space="preserve">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441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441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8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r>
        <w:rPr>
          <w:sz w:val="24"/>
          <w:szCs w:val="24"/>
        </w:rPr>
      </w:r>
      <w:bookmarkEnd w:id="218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9" w:name="_Toc9"/>
      <w:r/>
      <w:bookmarkEnd w:id="22"/>
      <w:r>
        <w:rPr>
          <w:sz w:val="24"/>
          <w:szCs w:val="24"/>
        </w:rPr>
        <w:t xml:space="preserve">Расходы н</w:t>
      </w:r>
      <w:r>
        <w:rPr>
          <w:sz w:val="24"/>
          <w:szCs w:val="24"/>
        </w:rPr>
        <w:t xml:space="preserve">а участие в закупке и при заключении договора</w:t>
      </w:r>
      <w:r>
        <w:rPr>
          <w:sz w:val="24"/>
          <w:szCs w:val="24"/>
        </w:rPr>
      </w:r>
      <w:bookmarkEnd w:id="219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</w:t>
      </w:r>
      <w:r>
        <w:rPr>
          <w:rFonts w:ascii="Times New Roman" w:hAnsi="Times New Roman" w:cs="Times New Roman"/>
          <w:b w:val="0"/>
          <w:bCs w:val="0"/>
        </w:rPr>
        <w:t xml:space="preserve">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20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</w:r>
      <w:r>
        <w:rPr>
          <w:sz w:val="24"/>
          <w:szCs w:val="24"/>
        </w:rPr>
        <w:t xml:space="preserve">и видами юридических лиц</w:t>
      </w:r>
      <w:r/>
      <w:bookmarkEnd w:id="220"/>
      <w:r/>
      <w:r/>
    </w:p>
    <w:p>
      <w:pPr>
        <w:pStyle w:val="1223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Единого стандарта з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Постановления Прав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ительства РФ от 23.12.2024 № 1875 «О мерах по предоставлению национального режима при осуществлении 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</w:t>
      </w:r>
      <w:r>
        <w:rPr>
          <w:rFonts w:ascii="Times New Roman" w:hAnsi="Times New Roman" w:cs="Times New Roman"/>
          <w:b w:val="0"/>
          <w:bCs w:val="0"/>
        </w:rPr>
        <w:t xml:space="preserve">– ПП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21" w:name="_Toc11"/>
      <w:r>
        <w:rPr>
          <w:sz w:val="24"/>
          <w:szCs w:val="24"/>
        </w:rPr>
        <w:t xml:space="preserve">Антимонопольная оговорка</w:t>
      </w:r>
      <w:r>
        <w:rPr>
          <w:b w:val="0"/>
        </w:rPr>
      </w:r>
      <w:bookmarkEnd w:id="221"/>
      <w:r/>
      <w:r>
        <w:rPr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r:id="rId22" w:tooltip="https://www.rosseti-yantar.ru/about/politiks/antimonopolnyy-komplaens/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</w:t>
      </w:r>
      <w:r>
        <w:rPr>
          <w:rFonts w:ascii="Times New Roman" w:hAnsi="Times New Roman" w:cs="Times New Roman"/>
          <w:b w:val="0"/>
          <w:bCs w:val="0"/>
        </w:rPr>
        <w:t xml:space="preserve">ная политика).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конкуренции», а также иных федеральных законов, нормативных </w:t>
      </w:r>
      <w:r>
        <w:rPr>
          <w:rFonts w:ascii="Times New Roman" w:hAnsi="Times New Roman" w:cs="Times New Roman"/>
          <w:b w:val="0"/>
          <w:bCs w:val="0"/>
        </w:rPr>
        <w:t xml:space="preserve">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Федерального закона от 18.07.2011 № 223-ФЗ «О за</w:t>
      </w:r>
      <w:r>
        <w:rPr>
          <w:rFonts w:ascii="Times New Roman" w:hAnsi="Times New Roman" w:cs="Times New Roman"/>
          <w:b w:val="0"/>
          <w:bCs w:val="0"/>
        </w:rPr>
        <w:t xml:space="preserve">купках товаров, работ, услуг отдельными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произошло или может произой</w:t>
      </w:r>
      <w:r>
        <w:rPr>
          <w:rFonts w:ascii="Times New Roman" w:hAnsi="Times New Roman" w:cs="Times New Roman"/>
          <w:b w:val="0"/>
          <w:bCs w:val="0"/>
        </w:rPr>
        <w:t xml:space="preserve">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 материалы, достове</w:t>
      </w:r>
      <w:r>
        <w:rPr>
          <w:rFonts w:ascii="Times New Roman" w:hAnsi="Times New Roman" w:cs="Times New Roman"/>
          <w:b w:val="0"/>
          <w:bCs w:val="0"/>
        </w:rPr>
        <w:t xml:space="preserve">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</w:t>
      </w:r>
      <w:r>
        <w:rPr>
          <w:rFonts w:ascii="Times New Roman" w:hAnsi="Times New Roman" w:cs="Times New Roman"/>
          <w:b w:val="0"/>
          <w:bCs w:val="0"/>
        </w:rPr>
        <w:t xml:space="preserve">ние АО «Россети Янтарь» можно почтой по адресу: 236035, а/я 5065 или через форму обратной связи на сайте Общества.</w:t>
      </w:r>
      <w:bookmarkEnd w:id="26"/>
      <w:r>
        <w:rPr>
          <w:b w:val="0"/>
        </w:rPr>
      </w:r>
      <w:r>
        <w:rPr>
          <w:b w:val="0"/>
        </w:rPr>
      </w:r>
    </w:p>
    <w:p>
      <w:pPr>
        <w:pStyle w:val="1534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2" w:name="_Toc12"/>
      <w:r>
        <w:rPr>
          <w:sz w:val="24"/>
          <w:szCs w:val="24"/>
        </w:rPr>
        <w:t xml:space="preserve">ДОКУМЕНТАЦИЯ О ЗАКУПКЕ</w:t>
      </w:r>
      <w:r>
        <w:rPr>
          <w:sz w:val="24"/>
          <w:szCs w:val="24"/>
        </w:rPr>
      </w:r>
      <w:bookmarkEnd w:id="222"/>
      <w:r/>
      <w:r>
        <w:rPr>
          <w:sz w:val="24"/>
          <w:szCs w:val="24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3" w:name="_Toc13"/>
      <w:r/>
      <w:bookmarkStart w:id="29" w:name="_Ref11225592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r>
        <w:rPr>
          <w:sz w:val="24"/>
          <w:szCs w:val="24"/>
        </w:rPr>
      </w:r>
      <w:bookmarkEnd w:id="223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3" w:tooltip="www.zakupki.gov.ru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10 части II «ИНФОРМАЦ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4" w:name="_Toc14"/>
      <w:r>
        <w:rPr>
          <w:sz w:val="24"/>
          <w:szCs w:val="24"/>
        </w:rPr>
        <w:t xml:space="preserve">Разъяснение положений документации о закупке</w:t>
      </w:r>
      <w:r>
        <w:rPr>
          <w:sz w:val="24"/>
          <w:szCs w:val="24"/>
        </w:rPr>
      </w:r>
      <w:bookmarkEnd w:id="224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</w:t>
      </w:r>
      <w:r>
        <w:rPr>
          <w:rFonts w:ascii="Times New Roman" w:hAnsi="Times New Roman" w:cs="Times New Roman"/>
          <w:b w:val="0"/>
          <w:bCs w:val="0"/>
        </w:rPr>
        <w:t xml:space="preserve">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</w:t>
      </w:r>
      <w:r>
        <w:rPr>
          <w:rFonts w:ascii="Times New Roman" w:hAnsi="Times New Roman" w:cs="Times New Roman"/>
          <w:b w:val="0"/>
          <w:bCs w:val="0"/>
        </w:rPr>
        <w:t xml:space="preserve">дней с даты поступления запроса, Заказчик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</w:t>
      </w:r>
      <w:r>
        <w:rPr>
          <w:rFonts w:ascii="Times New Roman" w:hAnsi="Times New Roman" w:cs="Times New Roman"/>
          <w:b w:val="0"/>
          <w:bCs w:val="0"/>
        </w:rPr>
        <w:t xml:space="preserve">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</w:t>
      </w:r>
      <w:r>
        <w:rPr>
          <w:rFonts w:ascii="Times New Roman" w:hAnsi="Times New Roman" w:cs="Times New Roman"/>
          <w:b w:val="0"/>
          <w:bCs w:val="0"/>
        </w:rPr>
        <w:t xml:space="preserve">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25" w:name="_Toc15"/>
      <w:r/>
      <w:bookmarkStart w:id="34" w:name="_Ref119429410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r>
        <w:rPr>
          <w:sz w:val="24"/>
          <w:szCs w:val="24"/>
        </w:rPr>
      </w:r>
      <w:bookmarkEnd w:id="225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</w:t>
      </w:r>
      <w:r>
        <w:rPr>
          <w:rFonts w:ascii="Times New Roman" w:hAnsi="Times New Roman" w:cs="Times New Roman"/>
          <w:b w:val="0"/>
        </w:rPr>
        <w:t xml:space="preserve">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</w:t>
      </w:r>
      <w:r>
        <w:rPr>
          <w:rFonts w:ascii="Times New Roman" w:hAnsi="Times New Roman" w:cs="Times New Roman"/>
          <w:b w:val="0"/>
        </w:rPr>
        <w:t xml:space="preserve">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</w:t>
      </w:r>
      <w:r>
        <w:rPr>
          <w:rFonts w:ascii="Times New Roman" w:hAnsi="Times New Roman" w:cs="Times New Roman"/>
          <w:b w:val="0"/>
          <w:bCs w:val="0"/>
        </w:rPr>
        <w:t xml:space="preserve">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6" w:name="_Toc16"/>
      <w:r>
        <w:rPr>
          <w:sz w:val="24"/>
          <w:szCs w:val="24"/>
        </w:rPr>
        <w:t xml:space="preserve">Отмена закупки</w:t>
      </w:r>
      <w:r>
        <w:rPr>
          <w:sz w:val="24"/>
          <w:szCs w:val="24"/>
        </w:rPr>
      </w:r>
      <w:bookmarkEnd w:id="226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</w:t>
      </w:r>
      <w:r>
        <w:rPr>
          <w:rFonts w:ascii="Times New Roman" w:hAnsi="Times New Roman" w:cs="Times New Roman"/>
          <w:b w:val="0"/>
          <w:bCs w:val="0"/>
        </w:rPr>
        <w:t xml:space="preserve">) до наступления даты и времени окончания срока подачи заявок на участие в закупке.</w:t>
      </w:r>
      <w:bookmarkEnd w:id="3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</w:t>
      </w:r>
      <w:r>
        <w:rPr>
          <w:rFonts w:ascii="Times New Roman" w:hAnsi="Times New Roman" w:cs="Times New Roman"/>
          <w:b w:val="0"/>
          <w:bCs w:val="0"/>
        </w:rPr>
        <w:t xml:space="preserve">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21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7" w:name="_Toc17"/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27"/>
      <w:r/>
      <w:r>
        <w:rPr>
          <w:sz w:val="24"/>
          <w:szCs w:val="24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8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r>
        <w:rPr>
          <w:sz w:val="24"/>
          <w:szCs w:val="24"/>
        </w:rPr>
      </w:r>
      <w:bookmarkEnd w:id="228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</w:t>
      </w:r>
      <w:r>
        <w:rPr>
          <w:rFonts w:ascii="Times New Roman" w:hAnsi="Times New Roman" w:cs="Times New Roman"/>
          <w:b w:val="0"/>
          <w:bCs w:val="0"/>
        </w:rPr>
        <w:t xml:space="preserve">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</w:t>
      </w:r>
      <w:r>
        <w:rPr>
          <w:rFonts w:ascii="Times New Roman" w:hAnsi="Times New Roman" w:cs="Times New Roman"/>
          <w:b w:val="0"/>
          <w:bCs w:val="0"/>
        </w:rPr>
        <w:t xml:space="preserve">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441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441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441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441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</w:t>
      </w:r>
      <w:r>
        <w:rPr>
          <w:rFonts w:ascii="Times New Roman" w:hAnsi="Times New Roman" w:cs="Times New Roman"/>
          <w:b w:val="0"/>
          <w:bCs w:val="0"/>
        </w:rPr>
        <w:t xml:space="preserve">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441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1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</w:t>
      </w:r>
      <w:r>
        <w:rPr>
          <w:rFonts w:ascii="Times New Roman" w:hAnsi="Times New Roman" w:cs="Times New Roman"/>
          <w:b w:val="0"/>
          <w:bCs w:val="0"/>
        </w:rPr>
        <w:t xml:space="preserve">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</w:t>
      </w:r>
      <w:r>
        <w:rPr>
          <w:rFonts w:ascii="Times New Roman" w:hAnsi="Times New Roman" w:cs="Times New Roman"/>
          <w:b w:val="0"/>
          <w:bCs w:val="0"/>
        </w:rPr>
        <w:t xml:space="preserve">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>
        <w:rPr>
          <w:rFonts w:ascii="Times New Roman" w:hAnsi="Times New Roman" w:cs="Times New Roman"/>
          <w:b w:val="0"/>
          <w:bCs w:val="0"/>
        </w:rPr>
        <w:t xml:space="preserve">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</w:t>
      </w:r>
      <w:r>
        <w:rPr>
          <w:rFonts w:ascii="Times New Roman" w:hAnsi="Times New Roman" w:cs="Times New Roman"/>
          <w:b w:val="0"/>
          <w:bCs w:val="0"/>
        </w:rPr>
        <w:t xml:space="preserve">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9" w:name="_Toc19"/>
      <w:r/>
      <w:bookmarkEnd w:id="51"/>
      <w:r>
        <w:rPr>
          <w:sz w:val="24"/>
          <w:szCs w:val="24"/>
        </w:rPr>
        <w:t xml:space="preserve">Язык документов, входящих в состав заявки на учас</w:t>
      </w:r>
      <w:r>
        <w:rPr>
          <w:sz w:val="24"/>
          <w:szCs w:val="24"/>
        </w:rPr>
        <w:t xml:space="preserve">тие в закупке</w:t>
      </w:r>
      <w:r>
        <w:rPr>
          <w:sz w:val="24"/>
          <w:szCs w:val="24"/>
        </w:rPr>
      </w:r>
      <w:bookmarkEnd w:id="229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</w:t>
      </w:r>
      <w:r>
        <w:rPr>
          <w:rFonts w:ascii="Times New Roman" w:hAnsi="Times New Roman" w:cs="Times New Roman"/>
          <w:b w:val="0"/>
          <w:bCs w:val="0"/>
        </w:rPr>
        <w:t xml:space="preserve">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0" w:name="_Toc20"/>
      <w:r>
        <w:rPr>
          <w:sz w:val="24"/>
          <w:szCs w:val="24"/>
        </w:rPr>
        <w:t xml:space="preserve">Требования к валюте заявки</w:t>
      </w:r>
      <w:r>
        <w:rPr>
          <w:sz w:val="24"/>
          <w:szCs w:val="24"/>
        </w:rPr>
      </w:r>
      <w:bookmarkEnd w:id="230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</w:t>
      </w:r>
      <w:r>
        <w:rPr>
          <w:rFonts w:ascii="Times New Roman" w:hAnsi="Times New Roman" w:cs="Times New Roman"/>
          <w:b w:val="0"/>
        </w:rPr>
        <w:t xml:space="preserve">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</w:t>
      </w:r>
      <w:r>
        <w:rPr>
          <w:rFonts w:ascii="Times New Roman" w:hAnsi="Times New Roman" w:cs="Times New Roman"/>
          <w:b w:val="0"/>
        </w:rPr>
        <w:t xml:space="preserve">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</w:t>
      </w:r>
      <w:r>
        <w:rPr>
          <w:rFonts w:ascii="Times New Roman" w:hAnsi="Times New Roman" w:cs="Times New Roman"/>
          <w:b w:val="0"/>
        </w:rPr>
        <w:t xml:space="preserve">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1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>
        <w:rPr>
          <w:sz w:val="24"/>
          <w:szCs w:val="24"/>
        </w:rPr>
      </w:r>
      <w:bookmarkEnd w:id="231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441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ЗАКУПКИ</w:t>
        </w:r>
        <w:r>
          <w:rPr>
            <w:rStyle w:val="1441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</w:t>
      </w:r>
      <w:r>
        <w:rPr>
          <w:rFonts w:ascii="Times New Roman" w:hAnsi="Times New Roman" w:cs="Times New Roman"/>
        </w:rPr>
        <w:t xml:space="preserve">быть менее, чем 90</w:t>
      </w:r>
      <w:r>
        <w:rPr>
          <w:rStyle w:val="1552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441"/>
            <w:rFonts w:ascii="Times New Roman" w:hAnsi="Times New Roman" w:cs="Times New Roman"/>
            <w:b w:val="0"/>
          </w:rPr>
          <w:t xml:space="preserve">17 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</w:t>
      </w:r>
      <w:r>
        <w:rPr>
          <w:rFonts w:ascii="Times New Roman" w:hAnsi="Times New Roman" w:cs="Times New Roman"/>
          <w:b w:val="0"/>
          <w:bCs w:val="0"/>
        </w:rPr>
        <w:t xml:space="preserve">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</w:t>
      </w:r>
      <w:r>
        <w:rPr>
          <w:rFonts w:ascii="Times New Roman" w:hAnsi="Times New Roman" w:cs="Times New Roman"/>
          <w:b w:val="0"/>
          <w:bCs w:val="0"/>
        </w:rPr>
        <w:t xml:space="preserve">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</w:t>
      </w:r>
      <w:r>
        <w:rPr>
          <w:rFonts w:ascii="Times New Roman" w:hAnsi="Times New Roman" w:cs="Times New Roman"/>
          <w:b w:val="0"/>
          <w:bCs w:val="0"/>
        </w:rPr>
        <w:t xml:space="preserve">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</w:t>
      </w:r>
      <w:r>
        <w:rPr>
          <w:rFonts w:ascii="Times New Roman" w:hAnsi="Times New Roman" w:cs="Times New Roman"/>
          <w:b w:val="0"/>
          <w:bCs w:val="0"/>
        </w:rPr>
        <w:t xml:space="preserve">соотв</w:t>
      </w:r>
      <w:r>
        <w:rPr>
          <w:rFonts w:ascii="Times New Roman" w:hAnsi="Times New Roman" w:cs="Times New Roman"/>
          <w:b w:val="0"/>
          <w:bCs w:val="0"/>
        </w:rPr>
        <w:t xml:space="preserve">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определены права и обязанности сторон как в рамках участия в закупочной процедуре, так и в рамк</w:t>
      </w:r>
      <w:r>
        <w:t xml:space="preserve">ах исполнения договора, заключаемого по ее результатам;</w:t>
      </w:r>
      <w:r/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работ/услуг/поставок между членами коллективного участника;</w:t>
      </w:r>
      <w:r/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</w:t>
      </w:r>
      <w:r>
        <w:t xml:space="preserve">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в соглашении должна быть установлена субсидиарная ответственность каждого члена коллективного участника по обязат</w:t>
      </w:r>
      <w:r>
        <w:t xml:space="preserve">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</w:t>
      </w:r>
      <w:r>
        <w:t xml:space="preserve">ельно с лидером, однако, по желанию заказчика или по его инициативе, данная схема может быть изменена;</w:t>
      </w:r>
      <w:r/>
    </w:p>
    <w:p>
      <w:pPr>
        <w:pStyle w:val="1534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</w:t>
      </w:r>
      <w:r>
        <w:rPr>
          <w:rFonts w:ascii="Times New Roman" w:hAnsi="Times New Roman" w:cs="Times New Roman"/>
          <w:b w:val="0"/>
          <w:bCs w:val="0"/>
        </w:rPr>
        <w:t xml:space="preserve">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534"/>
        <w:numPr>
          <w:ilvl w:val="0"/>
          <w:numId w:val="8"/>
        </w:numPr>
        <w:ind w:left="0" w:firstLine="567"/>
        <w:jc w:val="both"/>
        <w:rPr>
          <w:rStyle w:val="1441"/>
          <w:bCs/>
        </w:rPr>
      </w:pPr>
      <w:r>
        <w:t xml:space="preserve">в отношении каждого из членов колле</w:t>
      </w:r>
      <w:r>
        <w:t xml:space="preserve">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441"/>
          </w:rPr>
          <w:t xml:space="preserve">17 части II «ИНФОРМАЦИОННАЯ КАРТА ЗАКУПКИ»</w:t>
        </w:r>
      </w:hyperlink>
      <w:r>
        <w:rPr>
          <w:rStyle w:val="1441"/>
          <w:bCs/>
          <w:color w:val="000000" w:themeColor="text1"/>
          <w:u w:val="none"/>
        </w:rPr>
        <w:t xml:space="preserve">.</w:t>
      </w:r>
      <w:r>
        <w:rPr>
          <w:rStyle w:val="1441"/>
          <w:bCs/>
        </w:rPr>
      </w:r>
      <w:r>
        <w:rPr>
          <w:rStyle w:val="1441"/>
          <w:bCs/>
        </w:rPr>
      </w:r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</w:t>
      </w:r>
      <w:r>
        <w:t xml:space="preserve">о ссылкой на то, что он представляет интересы коллективного участника;</w:t>
      </w:r>
      <w:r/>
    </w:p>
    <w:p>
      <w:pPr>
        <w:pStyle w:val="1534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2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r>
        <w:rPr>
          <w:sz w:val="24"/>
          <w:szCs w:val="24"/>
        </w:rPr>
      </w:r>
      <w:bookmarkEnd w:id="232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</w:t>
      </w:r>
      <w:r>
        <w:rPr>
          <w:rFonts w:ascii="Times New Roman" w:hAnsi="Times New Roman" w:cs="Times New Roman"/>
          <w:b w:val="0"/>
          <w:bCs w:val="0"/>
        </w:rPr>
        <w:t xml:space="preserve">упки, не может превышать начальную (максимальную) цену договора (цену лота), указанную в извещении закупке и в пункте </w:t>
      </w:r>
      <w:hyperlink w:tooltip="#_Сведения_о_начальной" w:anchor="_Сведения_о_начальной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</w:t>
      </w:r>
      <w:r>
        <w:rPr>
          <w:rFonts w:ascii="Times New Roman" w:hAnsi="Times New Roman" w:cs="Times New Roman"/>
          <w:b w:val="0"/>
          <w:bCs w:val="0"/>
        </w:rPr>
        <w:t xml:space="preserve">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</w:t>
      </w:r>
      <w:r>
        <w:rPr>
          <w:rFonts w:ascii="Times New Roman" w:hAnsi="Times New Roman" w:cs="Times New Roman"/>
          <w:b w:val="0"/>
          <w:bCs w:val="0"/>
        </w:rPr>
        <w:t xml:space="preserve">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</w:t>
      </w:r>
      <w:r>
        <w:rPr>
          <w:rFonts w:ascii="Times New Roman" w:hAnsi="Times New Roman" w:cs="Times New Roman"/>
          <w:b w:val="0"/>
          <w:bCs w:val="0"/>
        </w:rPr>
        <w:t xml:space="preserve">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</w:t>
      </w:r>
      <w:r>
        <w:rPr>
          <w:rFonts w:ascii="Times New Roman" w:hAnsi="Times New Roman" w:cs="Times New Roman"/>
          <w:b w:val="0"/>
          <w:bCs w:val="0"/>
        </w:rPr>
        <w:t xml:space="preserve">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4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</w:t>
      </w:r>
      <w:r>
        <w:t xml:space="preserve">ь установлено, что при подаче ценовых предложений (цены предложения на переторжке (далее - дополнительных ценовых предложений)) путем снижения общей стоимости заявки участник не вправе </w:t>
      </w:r>
      <w:r>
        <w:t xml:space="preserve">превышать единичные расценки либо отдельные стоимостные позиции, первон</w:t>
      </w:r>
      <w:r>
        <w:t xml:space="preserve">ачально представленные им в заявке.</w:t>
      </w:r>
      <w:r/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</w:t>
      </w:r>
      <w:r>
        <w:rPr>
          <w:rFonts w:ascii="Times New Roman" w:hAnsi="Times New Roman" w:eastAsia="Calibri" w:cs="Times New Roman"/>
          <w:b w:val="0"/>
        </w:rPr>
        <w:t xml:space="preserve">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</w:t>
      </w:r>
      <w:r>
        <w:rPr>
          <w:rFonts w:ascii="Times New Roman" w:hAnsi="Times New Roman" w:cs="Times New Roman"/>
          <w:b w:val="0"/>
          <w:bCs w:val="0"/>
        </w:rPr>
        <w:t xml:space="preserve">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441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1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441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Участник закупки может п</w:t>
      </w:r>
      <w:r>
        <w:rPr>
          <w:rFonts w:ascii="Times New Roman" w:hAnsi="Times New Roman" w:cs="Times New Roman"/>
          <w:b w:val="0"/>
          <w:bCs w:val="0"/>
        </w:rPr>
        <w:t xml:space="preserve">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441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1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</w:t>
      </w:r>
      <w:r>
        <w:rPr>
          <w:rFonts w:ascii="Times New Roman" w:hAnsi="Times New Roman" w:cs="Times New Roman"/>
          <w:b w:val="0"/>
          <w:bCs w:val="0"/>
        </w:rPr>
        <w:t xml:space="preserve">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</w:t>
      </w:r>
      <w:r>
        <w:rPr>
          <w:rFonts w:ascii="Times New Roman" w:hAnsi="Times New Roman" w:cs="Times New Roman"/>
          <w:b w:val="0"/>
          <w:bCs w:val="0"/>
        </w:rPr>
        <w:t xml:space="preserve">установленными  части </w:t>
      </w:r>
      <w:hyperlink w:tooltip="#_ТЕХНИЧЕСКАЯ_ЧАСТЬ" w:anchor="_ТЕХНИЧЕСКАЯ_ЧАСТЬ" w:history="1">
        <w:r>
          <w:rPr>
            <w:rStyle w:val="1441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1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</w:t>
      </w:r>
      <w:r>
        <w:rPr>
          <w:rFonts w:ascii="Times New Roman" w:hAnsi="Times New Roman" w:cs="Times New Roman"/>
          <w:b w:val="0"/>
          <w:bCs w:val="0"/>
        </w:rPr>
        <w:t xml:space="preserve">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в случае предложения эквивалентной продукции при описании ее обяз</w:t>
      </w:r>
      <w:r>
        <w:rPr>
          <w:rFonts w:ascii="Times New Roman" w:hAnsi="Times New Roman" w:cs="Times New Roman"/>
          <w:b w:val="0"/>
          <w:bCs w:val="0"/>
        </w:rPr>
        <w:t xml:space="preserve">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3" w:name="_Toc23"/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</w:t>
      </w:r>
      <w:r>
        <w:rPr>
          <w:sz w:val="24"/>
          <w:szCs w:val="24"/>
        </w:rPr>
        <w:t xml:space="preserve">е в закупке</w:t>
      </w:r>
      <w:bookmarkEnd w:id="70"/>
      <w:r>
        <w:rPr>
          <w:sz w:val="24"/>
          <w:szCs w:val="24"/>
        </w:rPr>
      </w:r>
      <w:bookmarkEnd w:id="233"/>
      <w:r/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не более 5 (пяти</w:t>
      </w:r>
      <w:r>
        <w:t xml:space="preserve">) процентов от начальной (максимальной) цены договора. Обеспечение заявки может быть представлено в форме внесения денежных средств или в форме независимой гарантии. Выбор способа обеспечения заявки на участие в закупке осуществляется участником закупки са</w:t>
      </w:r>
      <w:r>
        <w:t xml:space="preserve">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участником закупки на Лицевой счет участника закупки, открытый оператором электронной площадки в соответствии с правилами, ус</w:t>
      </w:r>
      <w:r>
        <w:t xml:space="preserve">тановленными Регламентом работы ЭТП</w:t>
      </w:r>
      <w:r>
        <w:rPr>
          <w:bCs/>
        </w:rPr>
        <w:t xml:space="preserve">. Информация о перечислении средств на </w:t>
      </w:r>
      <w:r>
        <w:rPr>
          <w:bCs/>
        </w:rPr>
        <w:t xml:space="preserve">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</w:t>
        </w:r>
        <w:r>
          <w:rPr>
            <w:color w:val="0000ff"/>
            <w:u w:val="single"/>
          </w:rPr>
          <w:t xml:space="preserve">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</w:t>
      </w:r>
      <w:r>
        <w:t xml:space="preserve">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возвращаются: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</w:t>
      </w:r>
      <w:r>
        <w:rPr>
          <w:bCs/>
        </w:rPr>
        <w:t xml:space="preserve">7 (семи) рабочих дней со дня подписания протокола, составленного по результатам закупки;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рабочих дней со дня заключения договора либо со дня предоставления таким участником </w:t>
      </w:r>
      <w:r>
        <w:rPr>
          <w:bCs/>
        </w:rPr>
        <w:t xml:space="preserve">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</w:t>
      </w:r>
      <w:r>
        <w:t xml:space="preserve">заявки, не производится, а независимая гарантия предъявляется банку-гаранту для выплаты суммы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документацией о закупк</w:t>
      </w:r>
      <w:r>
        <w:t xml:space="preserve">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</w:t>
      </w:r>
      <w:r>
        <w:t xml:space="preserve">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</w:t>
      </w:r>
      <w:r>
        <w:rPr>
          <w:bCs/>
        </w:rPr>
        <w:t xml:space="preserve">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441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</w:t>
      </w:r>
      <w:r>
        <w:t xml:space="preserve">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</w:t>
      </w:r>
      <w:r>
        <w:t xml:space="preserve">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</w:t>
      </w:r>
      <w:r>
        <w:t xml:space="preserve">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80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580"/>
          <w:vertAlign w:val="superscript"/>
        </w:rPr>
        <w:footnoteReference w:customMarkFollows="1" w:id="2"/>
        <w:t xml:space="preserve">1</w:t>
      </w:r>
      <w:r>
        <w:rPr>
          <w:rStyle w:val="1580"/>
        </w:rPr>
        <w:t xml:space="preserve">, и в отношении данной кре</w:t>
      </w:r>
      <w:r>
        <w:rPr>
          <w:rStyle w:val="1580"/>
        </w:rPr>
        <w:t xml:space="preserve">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80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80"/>
        </w:rPr>
        <w:t xml:space="preserve">кредитная организация не находится в процессе слияния, присоединения, санации (финансово</w:t>
      </w:r>
      <w:r>
        <w:rPr>
          <w:rStyle w:val="1580"/>
        </w:rPr>
        <w:t xml:space="preserve">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</w:t>
      </w:r>
      <w:r>
        <w:rPr>
          <w:rStyle w:val="1580"/>
        </w:rPr>
        <w:t xml:space="preserve">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 частями</w:t>
      </w:r>
      <w:r>
        <w:t xml:space="preserve">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</w:t>
      </w:r>
      <w:r>
        <w:t xml:space="preserve">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9"/>
        <w:gridCol w:w="3260"/>
      </w:tblGrid>
      <w:tr>
        <w:tblPrEx/>
        <w:trPr>
          <w:trHeight w:val="7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</w:t>
      </w:r>
      <w:r>
        <w:rPr>
          <w:bCs/>
        </w:rPr>
        <w:t xml:space="preserve">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</w:t>
      </w:r>
      <w:r>
        <w:rPr>
          <w:bCs/>
        </w:rPr>
        <w:t xml:space="preserve">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</w:t>
      </w:r>
      <w:r>
        <w:rPr>
          <w:bCs/>
        </w:rPr>
        <w:t xml:space="preserve">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441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</w:t>
      </w:r>
      <w:r>
        <w:t xml:space="preserve">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441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4" w:name="_Toc24"/>
      <w:r/>
      <w:bookmarkStart w:id="75" w:name="_Порядок_действий,_осуществляемых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r>
        <w:rPr>
          <w:sz w:val="24"/>
          <w:szCs w:val="24"/>
        </w:rPr>
      </w:r>
      <w:bookmarkEnd w:id="234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участником закупки относительно начальной (максимальной) цены договора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заказчиком товаров (работ, услуг) по фактической потребности из чис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</w:t>
      </w:r>
      <w:r>
        <w:rPr>
          <w:rFonts w:ascii="Times New Roman" w:hAnsi="Times New Roman" w:cs="Times New Roman"/>
          <w:b w:val="0"/>
        </w:rPr>
        <w:t xml:space="preserve">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</w:t>
            </w:r>
            <w:r>
              <w:rPr>
                <w:sz w:val="22"/>
                <w:szCs w:val="22"/>
              </w:rPr>
              <w:t xml:space="preserve">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</w:t>
            </w:r>
            <w:r>
              <w:rPr>
                <w:sz w:val="22"/>
                <w:szCs w:val="22"/>
              </w:rPr>
              <w:t xml:space="preserve">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 или в форме независимой гарантии. Выбор способа обеспечения исполнения обязательств по договору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</w:t>
      </w:r>
      <w:r>
        <w:rPr>
          <w:rFonts w:ascii="Times New Roman" w:hAnsi="Times New Roman" w:cs="Times New Roman"/>
          <w:b w:val="0"/>
          <w:bCs w:val="0"/>
        </w:rPr>
        <w:t xml:space="preserve">по договору, предусмотренного в пункте </w:t>
      </w:r>
      <w:hyperlink w:tooltip="#_3.7.2._В_с" w:anchor="_3.7.2._В_с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перечисляются на расчетный счет Заказчика, указанный в соответствующем разделе Проекта договора. В</w:t>
      </w:r>
      <w:r>
        <w:rPr>
          <w:rFonts w:ascii="Times New Roman" w:hAnsi="Times New Roman" w:cs="Times New Roman"/>
          <w:b w:val="0"/>
          <w:bCs w:val="0"/>
        </w:rPr>
        <w:t xml:space="preserve">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проекте договора. В с</w:t>
      </w:r>
      <w:r>
        <w:rPr>
          <w:rFonts w:ascii="Times New Roman" w:hAnsi="Times New Roman" w:cs="Times New Roman"/>
          <w:b w:val="0"/>
          <w:bCs w:val="0"/>
        </w:rPr>
        <w:t xml:space="preserve">лучае отсутствия в проекте договора установленного срока </w:t>
      </w:r>
      <w:r>
        <w:rPr>
          <w:rFonts w:ascii="Times New Roman" w:hAnsi="Times New Roman" w:cs="Times New Roman"/>
          <w:b w:val="0"/>
          <w:bCs w:val="0"/>
        </w:rPr>
        <w:t xml:space="preserve">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</w:t>
      </w:r>
      <w:r>
        <w:rPr>
          <w:rFonts w:ascii="Times New Roman" w:hAnsi="Times New Roman" w:cs="Times New Roman"/>
          <w:b w:val="0"/>
          <w:bCs w:val="0"/>
        </w:rPr>
        <w:t xml:space="preserve">вору, предусмотренного в пункте </w:t>
      </w:r>
      <w:hyperlink w:tooltip="#_В_случае_если" w:anchor="_В_случае_если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</w:t>
      </w:r>
      <w:r>
        <w:rPr>
          <w:rFonts w:ascii="Times New Roman" w:hAnsi="Times New Roman" w:cs="Times New Roman"/>
          <w:b w:val="0"/>
          <w:bCs w:val="0"/>
        </w:rPr>
        <w:t xml:space="preserve">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21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5" w:name="_Toc25"/>
      <w:r>
        <w:rPr>
          <w:sz w:val="24"/>
          <w:szCs w:val="24"/>
        </w:rPr>
        <w:t xml:space="preserve">ПОДАЧА ЗАЯВОК НА УЧАСТИЕ В ЗАКУПКЕ</w:t>
      </w:r>
      <w:r>
        <w:rPr>
          <w:sz w:val="24"/>
          <w:szCs w:val="24"/>
        </w:rPr>
      </w:r>
      <w:bookmarkEnd w:id="235"/>
      <w:r/>
      <w:r>
        <w:rPr>
          <w:sz w:val="24"/>
          <w:szCs w:val="24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6" w:name="_Toc26"/>
      <w:r/>
      <w:bookmarkStart w:id="80" w:name="_Ref16624989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36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7" w:name="_Toc27"/>
      <w:r/>
      <w:bookmarkStart w:id="82" w:name="_Ref119429670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37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</w:t>
      </w:r>
      <w:r>
        <w:rPr>
          <w:rFonts w:ascii="Times New Roman" w:hAnsi="Times New Roman" w:cs="Times New Roman"/>
          <w:b w:val="0"/>
          <w:bCs w:val="0"/>
        </w:rPr>
        <w:t xml:space="preserve">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221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8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r>
        <w:rPr>
          <w:sz w:val="24"/>
          <w:szCs w:val="24"/>
        </w:rPr>
      </w:r>
      <w:bookmarkEnd w:id="238"/>
      <w:r/>
      <w:r>
        <w:rPr>
          <w:sz w:val="24"/>
          <w:szCs w:val="24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9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r>
        <w:rPr>
          <w:sz w:val="24"/>
          <w:szCs w:val="24"/>
        </w:rPr>
      </w:r>
      <w:bookmarkEnd w:id="239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</w:t>
      </w:r>
      <w:r>
        <w:rPr>
          <w:rFonts w:ascii="Times New Roman" w:hAnsi="Times New Roman" w:cs="Times New Roman"/>
          <w:b w:val="0"/>
          <w:bCs w:val="0"/>
        </w:rPr>
        <w:t xml:space="preserve">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0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r>
        <w:rPr>
          <w:sz w:val="24"/>
          <w:szCs w:val="24"/>
        </w:rPr>
      </w:r>
      <w:bookmarkEnd w:id="240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</w:t>
      </w:r>
      <w:r>
        <w:rPr>
          <w:rFonts w:ascii="Times New Roman" w:hAnsi="Times New Roman" w:cs="Times New Roman"/>
          <w:b w:val="0"/>
          <w:bCs w:val="0"/>
        </w:rPr>
        <w:t xml:space="preserve">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 вправе направить участнику закупки запрос на разъяснение положений заявки участника, </w:t>
      </w:r>
      <w:r>
        <w:rPr>
          <w:rFonts w:ascii="Times New Roman" w:hAnsi="Times New Roman" w:cs="Times New Roman"/>
          <w:b w:val="0"/>
          <w:bCs w:val="0"/>
        </w:rPr>
        <w:t xml:space="preserve">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документы и сведения, направленные участником в ходе исполнения запроса, которые изменяют сущ</w:t>
      </w:r>
      <w:r>
        <w:rPr>
          <w:rFonts w:ascii="Times New Roman" w:hAnsi="Times New Roman" w:cs="Times New Roman"/>
          <w:b w:val="0"/>
          <w:bCs w:val="0"/>
        </w:rPr>
        <w:t xml:space="preserve">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4"/>
        <w:numPr>
          <w:ilvl w:val="0"/>
          <w:numId w:val="10"/>
        </w:numPr>
        <w:ind w:left="0" w:firstLine="567"/>
        <w:jc w:val="both"/>
      </w:pPr>
      <w:r>
        <w:t xml:space="preserve">в случае отсутст</w:t>
      </w:r>
      <w:r>
        <w:t xml:space="preserve">вия в составе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441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4"/>
        <w:numPr>
          <w:ilvl w:val="0"/>
          <w:numId w:val="10"/>
        </w:numPr>
        <w:ind w:left="0" w:firstLine="567"/>
        <w:jc w:val="both"/>
        <w:rPr>
          <w:rStyle w:val="1441"/>
          <w:color w:val="auto"/>
          <w:u w:val="none"/>
        </w:rPr>
      </w:pPr>
      <w:r>
        <w:t xml:space="preserve">несоответствие участника закупки, в том числ</w:t>
      </w:r>
      <w:r>
        <w:t xml:space="preserve">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41"/>
          </w:rPr>
          <w:t xml:space="preserve">1.4 части I «ОБЩИЕ УСЛОВИЯ ПРОВЕДЕНИЯ ЗАКУПКИ»</w:t>
        </w:r>
      </w:hyperlink>
      <w:r>
        <w:rPr>
          <w:rStyle w:val="1441"/>
          <w:color w:val="000000" w:themeColor="text1"/>
          <w:u w:val="none"/>
        </w:rPr>
        <w:t xml:space="preserve">;</w:t>
      </w:r>
      <w:r>
        <w:rPr>
          <w:rStyle w:val="1441"/>
          <w:color w:val="auto"/>
          <w:u w:val="none"/>
        </w:rPr>
      </w:r>
      <w:r>
        <w:rPr>
          <w:rStyle w:val="1441"/>
          <w:color w:val="auto"/>
          <w:u w:val="none"/>
        </w:rPr>
      </w:r>
    </w:p>
    <w:p>
      <w:pPr>
        <w:pStyle w:val="1534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</w:t>
      </w:r>
      <w:r>
        <w:t xml:space="preserve">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41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41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41"/>
          </w:rPr>
          <w:t xml:space="preserve">5 части II «ИНФОРМАЦИОННАЯ КАРТА ЗАКУПКИ»</w:t>
        </w:r>
      </w:hyperlink>
      <w:r>
        <w:rPr>
          <w:rStyle w:val="1441"/>
          <w:color w:val="000000" w:themeColor="text1"/>
          <w:u w:val="none"/>
        </w:rPr>
        <w:t xml:space="preserve">;</w:t>
      </w:r>
      <w:r/>
    </w:p>
    <w:p>
      <w:pPr>
        <w:pStyle w:val="1534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534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</w:t>
      </w:r>
      <w:r>
        <w:rPr>
          <w:bCs/>
        </w:rPr>
        <w:t xml:space="preserve">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41"/>
          </w:rPr>
          <w:t xml:space="preserve">11 части II «ИНФОРМАЦИОННАЯ КА</w:t>
        </w:r>
        <w:r>
          <w:rPr>
            <w:rStyle w:val="1441"/>
          </w:rPr>
          <w:t xml:space="preserve">РТА ЗАКУПКИ»</w:t>
        </w:r>
      </w:hyperlink>
      <w:r>
        <w:rPr>
          <w:rStyle w:val="1441"/>
          <w:color w:val="000000" w:themeColor="text1"/>
          <w:u w:val="none"/>
        </w:rPr>
        <w:t xml:space="preserve">);</w:t>
      </w:r>
      <w:r/>
    </w:p>
    <w:p>
      <w:pPr>
        <w:pStyle w:val="1534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441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</w:t>
      </w:r>
      <w:r>
        <w:t xml:space="preserve">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441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534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</w:t>
      </w:r>
      <w:r>
        <w:t xml:space="preserve">ведений.</w:t>
      </w:r>
      <w:r/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</w:t>
      </w:r>
      <w:r>
        <w:rPr>
          <w:rFonts w:ascii="Times New Roman" w:hAnsi="Times New Roman" w:cs="Times New Roman"/>
          <w:b w:val="0"/>
          <w:bCs w:val="0"/>
        </w:rPr>
        <w:t xml:space="preserve">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</w:t>
      </w:r>
      <w:r>
        <w:rPr>
          <w:rFonts w:ascii="Times New Roman" w:hAnsi="Times New Roman" w:cs="Times New Roman"/>
          <w:b w:val="0"/>
          <w:bCs w:val="0"/>
        </w:rPr>
        <w:t xml:space="preserve">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</w:t>
      </w:r>
      <w:r>
        <w:rPr>
          <w:rFonts w:ascii="Times New Roman" w:hAnsi="Times New Roman" w:cs="Times New Roman"/>
          <w:b w:val="0"/>
          <w:bCs w:val="0"/>
        </w:rPr>
        <w:t xml:space="preserve">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4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4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</w:t>
      </w:r>
      <w:r>
        <w:rPr>
          <w:rFonts w:ascii="Times New Roman" w:hAnsi="Times New Roman" w:cs="Times New Roman"/>
        </w:rPr>
        <w:t xml:space="preserve">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</w:t>
      </w:r>
      <w:r>
        <w:rPr>
          <w:rFonts w:ascii="Times New Roman" w:hAnsi="Times New Roman" w:cs="Times New Roman"/>
          <w:b w:val="0"/>
          <w:bCs w:val="0"/>
        </w:rPr>
        <w:t xml:space="preserve">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</w:t>
      </w:r>
      <w:r>
        <w:rPr>
          <w:rFonts w:ascii="Times New Roman" w:hAnsi="Times New Roman" w:cs="Times New Roman"/>
          <w:b w:val="0"/>
          <w:bCs w:val="0"/>
        </w:rPr>
        <w:t xml:space="preserve">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1" w:name="_Toc31"/>
      <w:r>
        <w:rPr>
          <w:sz w:val="24"/>
          <w:szCs w:val="24"/>
        </w:rPr>
        <w:t xml:space="preserve">Критерии оценки заявок участников закупки</w:t>
      </w:r>
      <w:r>
        <w:rPr>
          <w:sz w:val="24"/>
          <w:szCs w:val="24"/>
        </w:rPr>
      </w:r>
      <w:bookmarkEnd w:id="241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П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оценку и сопоставление заявок на участие в заку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</w:t>
      </w:r>
      <w:r>
        <w:rPr>
          <w:rFonts w:ascii="Times New Roman" w:hAnsi="Times New Roman" w:cs="Times New Roman"/>
          <w:b w:val="0"/>
          <w:bCs w:val="0"/>
        </w:rPr>
        <w:t xml:space="preserve">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</w:t>
      </w:r>
      <w:r>
        <w:rPr>
          <w:rFonts w:ascii="Times New Roman" w:hAnsi="Times New Roman" w:cs="Times New Roman"/>
          <w:b w:val="0"/>
          <w:bCs w:val="0"/>
        </w:rPr>
        <w:t xml:space="preserve">направляемых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</w:t>
      </w:r>
      <w:r>
        <w:rPr>
          <w:rFonts w:ascii="Times New Roman" w:hAnsi="Times New Roman" w:cs="Times New Roman"/>
          <w:b w:val="0"/>
          <w:bCs w:val="0"/>
        </w:rPr>
        <w:t xml:space="preserve">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</w:t>
      </w:r>
      <w:r>
        <w:rPr>
          <w:rFonts w:ascii="Times New Roman" w:hAnsi="Times New Roman" w:cs="Times New Roman"/>
          <w:b w:val="0"/>
          <w:bCs w:val="0"/>
        </w:rPr>
        <w:t xml:space="preserve">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</w:t>
      </w:r>
      <w:r>
        <w:rPr>
          <w:rFonts w:ascii="Times New Roman" w:hAnsi="Times New Roman" w:cs="Times New Roman"/>
          <w:b w:val="0"/>
          <w:bCs w:val="0"/>
        </w:rPr>
        <w:t xml:space="preserve">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</w:t>
      </w:r>
      <w:r>
        <w:rPr>
          <w:rFonts w:ascii="Times New Roman" w:hAnsi="Times New Roman" w:cs="Times New Roman"/>
          <w:b w:val="0"/>
        </w:rPr>
        <w:t xml:space="preserve">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2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r>
        <w:rPr>
          <w:sz w:val="24"/>
          <w:szCs w:val="24"/>
        </w:rPr>
      </w:r>
      <w:bookmarkEnd w:id="242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</w:t>
      </w:r>
      <w:r>
        <w:rPr>
          <w:rFonts w:ascii="Times New Roman" w:hAnsi="Times New Roman" w:cs="Times New Roman"/>
          <w:b w:val="0"/>
          <w:bCs w:val="0"/>
        </w:rPr>
        <w:t xml:space="preserve">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34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441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4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</w:t>
      </w:r>
      <w:r>
        <w:t xml:space="preserve">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41"/>
          </w:rPr>
          <w:t xml:space="preserve">1.4 части I «ОБЩИЕ УСЛОВИЯ ПРОВЕДЕНИ</w:t>
        </w:r>
        <w:r>
          <w:rPr>
            <w:rStyle w:val="1441"/>
          </w:rPr>
          <w:t xml:space="preserve">Я ЗАКУПКИ»</w:t>
        </w:r>
      </w:hyperlink>
      <w:r>
        <w:t xml:space="preserve">;</w:t>
      </w:r>
      <w:r/>
    </w:p>
    <w:p>
      <w:pPr>
        <w:pStyle w:val="1534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41"/>
          </w:rPr>
          <w:t xml:space="preserve">3 части II «ИН</w:t>
        </w:r>
        <w:r>
          <w:rPr>
            <w:rStyle w:val="1441"/>
          </w:rPr>
          <w:t xml:space="preserve">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41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41"/>
          </w:rPr>
          <w:t xml:space="preserve">5 части II «ИНФОРМАЦИОННАЯ КАРТА ЗАКУП</w:t>
        </w:r>
        <w:r>
          <w:rPr>
            <w:rStyle w:val="1441"/>
          </w:rPr>
          <w:t xml:space="preserve">КИ»</w:t>
        </w:r>
      </w:hyperlink>
      <w:r>
        <w:t xml:space="preserve">;</w:t>
      </w:r>
      <w:r/>
    </w:p>
    <w:p>
      <w:pPr>
        <w:pStyle w:val="1534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41"/>
          </w:rPr>
          <w:t xml:space="preserve">11 части II «ИНФОРМАЦИОННАЯ КАРТА ЗАКУПКИ»</w:t>
        </w:r>
      </w:hyperlink>
      <w:r>
        <w:rPr>
          <w:rStyle w:val="1441"/>
          <w:color w:val="000000" w:themeColor="text1"/>
          <w:u w:val="none"/>
        </w:rPr>
        <w:t xml:space="preserve">);</w:t>
      </w:r>
      <w:r/>
    </w:p>
    <w:p>
      <w:pPr>
        <w:pStyle w:val="1534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</w:t>
      </w:r>
      <w:r>
        <w:rPr>
          <w:bCs/>
        </w:rPr>
        <w:t xml:space="preserve">тветствия по сроку действия оферты;</w:t>
      </w:r>
      <w:r/>
    </w:p>
    <w:p>
      <w:pPr>
        <w:pStyle w:val="1534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3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r>
        <w:rPr>
          <w:sz w:val="24"/>
          <w:szCs w:val="24"/>
        </w:rPr>
      </w:r>
      <w:bookmarkEnd w:id="243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</w:t>
      </w:r>
      <w:r>
        <w:rPr>
          <w:rFonts w:ascii="Times New Roman" w:hAnsi="Times New Roman" w:cs="Times New Roman"/>
          <w:b w:val="0"/>
          <w:bCs w:val="0"/>
        </w:rPr>
        <w:t xml:space="preserve">ляется Закупочной комиссией после направления оператором ЭТП результатов </w:t>
      </w:r>
      <w:r>
        <w:rPr>
          <w:rFonts w:ascii="Times New Roman" w:hAnsi="Times New Roman" w:cs="Times New Roman"/>
          <w:b w:val="0"/>
          <w:bCs w:val="0"/>
        </w:rPr>
        <w:t xml:space="preserve">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</w:t>
      </w:r>
      <w:r>
        <w:rPr>
          <w:rFonts w:ascii="Times New Roman" w:hAnsi="Times New Roman" w:cs="Times New Roman"/>
          <w:b w:val="0"/>
          <w:bCs w:val="0"/>
        </w:rPr>
        <w:t xml:space="preserve">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</w:t>
      </w:r>
      <w:r>
        <w:rPr>
          <w:rFonts w:ascii="Times New Roman" w:hAnsi="Times New Roman" w:cs="Times New Roman"/>
          <w:b w:val="0"/>
          <w:bCs w:val="0"/>
        </w:rPr>
        <w:t xml:space="preserve">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</w:t>
      </w:r>
      <w:r>
        <w:rPr>
          <w:rFonts w:ascii="Times New Roman" w:hAnsi="Times New Roman" w:cs="Times New Roman"/>
          <w:b w:val="0"/>
          <w:bCs w:val="0"/>
        </w:rPr>
        <w:t xml:space="preserve">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4" w:name="_Toc34"/>
      <w:r>
        <w:rPr>
          <w:sz w:val="24"/>
          <w:szCs w:val="24"/>
        </w:rPr>
        <w:t xml:space="preserve">Переторж</w:t>
      </w:r>
      <w:r>
        <w:rPr>
          <w:sz w:val="24"/>
          <w:szCs w:val="24"/>
        </w:rPr>
        <w:t xml:space="preserve">ка</w:t>
      </w:r>
      <w:r>
        <w:rPr>
          <w:sz w:val="24"/>
          <w:szCs w:val="24"/>
        </w:rPr>
      </w:r>
      <w:bookmarkEnd w:id="244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</w:t>
      </w:r>
      <w:r>
        <w:rPr>
          <w:rFonts w:ascii="Times New Roman" w:hAnsi="Times New Roman" w:cs="Times New Roman"/>
          <w:b w:val="0"/>
        </w:rPr>
        <w:t xml:space="preserve">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</w:t>
      </w:r>
      <w:r>
        <w:rPr>
          <w:rFonts w:ascii="Times New Roman" w:hAnsi="Times New Roman" w:cs="Times New Roman"/>
          <w:b w:val="0"/>
        </w:rPr>
        <w:t xml:space="preserve">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</w:t>
      </w:r>
      <w:r>
        <w:rPr>
          <w:rFonts w:ascii="Times New Roman" w:hAnsi="Times New Roman" w:cs="Times New Roman"/>
          <w:b w:val="0"/>
        </w:rPr>
        <w:t xml:space="preserve">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Times New Roman" w:hAnsi="Times New Roman" w:cs="Times New Roman"/>
          <w:b w:val="0"/>
        </w:rPr>
        <w:t xml:space="preserve">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</w:t>
        </w:r>
        <w:r>
          <w:rPr>
            <w:rFonts w:ascii="Times New Roman" w:hAnsi="Times New Roman" w:cs="Times New Roman"/>
            <w:b w:val="0"/>
            <w:bCs w:val="0"/>
          </w:rPr>
          <w:t xml:space="preserve">нкте 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441"/>
            <w:rFonts w:ascii="Times New Roman" w:hAnsi="Times New Roman" w:cs="Times New Roman"/>
            <w:b w:val="0"/>
          </w:rPr>
          <w:t xml:space="preserve">9 части II </w:t>
        </w:r>
        <w:r>
          <w:rPr>
            <w:rStyle w:val="1441"/>
            <w:rFonts w:ascii="Times New Roman" w:hAnsi="Times New Roman" w:cs="Times New Roman"/>
            <w:b w:val="0"/>
          </w:rPr>
          <w:t xml:space="preserve">«</w:t>
        </w:r>
        <w:r>
          <w:rPr>
            <w:rStyle w:val="1441"/>
            <w:rFonts w:ascii="Times New Roman" w:hAnsi="Times New Roman" w:cs="Times New Roman"/>
            <w:b w:val="0"/>
          </w:rPr>
          <w:t xml:space="preserve">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Дата 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</w:t>
      </w:r>
      <w:r>
        <w:rPr>
          <w:rFonts w:ascii="Times New Roman" w:hAnsi="Times New Roman" w:cs="Times New Roman"/>
          <w:b w:val="0"/>
          <w:bCs w:val="0"/>
        </w:rPr>
        <w:t xml:space="preserve">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5" w:name="_Toc35"/>
      <w:r>
        <w:rPr>
          <w:sz w:val="24"/>
          <w:szCs w:val="24"/>
        </w:rPr>
        <w:t xml:space="preserve">Подведение итогов</w:t>
      </w:r>
      <w:r>
        <w:rPr>
          <w:sz w:val="24"/>
          <w:szCs w:val="24"/>
        </w:rPr>
      </w:r>
      <w:bookmarkEnd w:id="245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</w:t>
      </w:r>
      <w:r>
        <w:rPr>
          <w:rFonts w:ascii="Times New Roman" w:hAnsi="Times New Roman" w:cs="Times New Roman"/>
          <w:b w:val="0"/>
        </w:rPr>
        <w:t xml:space="preserve">купки осуществляются Закупочной 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441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</w:t>
      </w:r>
      <w:r>
        <w:rPr>
          <w:rFonts w:ascii="Times New Roman" w:hAnsi="Times New Roman" w:cs="Times New Roman"/>
          <w:b w:val="0"/>
        </w:rPr>
        <w:t xml:space="preserve">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Приложении № 1 части II «ИНФОРМ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Заказчиком, применяют</w:t>
      </w:r>
      <w:r>
        <w:rPr>
          <w:rFonts w:ascii="Times New Roman" w:hAnsi="Times New Roman" w:cs="Times New Roman"/>
          <w:b w:val="0"/>
          <w:bCs w:val="0"/>
        </w:rPr>
        <w:t xml:space="preserve">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</w:t>
      </w:r>
      <w:r>
        <w:rPr>
          <w:rFonts w:ascii="Times New Roman" w:hAnsi="Times New Roman" w:cs="Times New Roman"/>
          <w:b w:val="0"/>
          <w:bCs w:val="0"/>
        </w:rPr>
        <w:t xml:space="preserve">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</w:t>
      </w:r>
      <w:r>
        <w:rPr>
          <w:rFonts w:ascii="Times New Roman" w:hAnsi="Times New Roman" w:cs="Times New Roman"/>
          <w:b w:val="0"/>
        </w:rPr>
        <w:t xml:space="preserve">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</w:t>
      </w:r>
      <w:r>
        <w:rPr>
          <w:rFonts w:ascii="Times New Roman" w:hAnsi="Times New Roman" w:cs="Times New Roman"/>
          <w:b w:val="0"/>
          <w:bCs w:val="0"/>
        </w:rPr>
        <w:t xml:space="preserve">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результаты оценки заявок на участие в закупке с указанием итогового решения Закупочной комиссии о соответствии таких заявок требованиям доку</w:t>
      </w:r>
      <w:r>
        <w:rPr>
          <w:rFonts w:ascii="Times New Roman" w:hAnsi="Times New Roman" w:cs="Times New Roman"/>
          <w:b w:val="0"/>
        </w:rPr>
        <w:t xml:space="preserve">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</w:t>
      </w:r>
      <w:r>
        <w:rPr>
          <w:rFonts w:ascii="Times New Roman" w:hAnsi="Times New Roman" w:cs="Times New Roman"/>
          <w:b w:val="0"/>
          <w:bCs w:val="0"/>
        </w:rPr>
        <w:t xml:space="preserve">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</w:t>
      </w:r>
      <w:r>
        <w:rPr>
          <w:rFonts w:ascii="Times New Roman" w:hAnsi="Times New Roman" w:cs="Times New Roman"/>
          <w:b w:val="0"/>
          <w:bCs w:val="0"/>
        </w:rPr>
        <w:t xml:space="preserve">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6" w:name="_Toc36"/>
      <w:r>
        <w:rPr>
          <w:sz w:val="24"/>
          <w:szCs w:val="24"/>
        </w:rPr>
        <w:t xml:space="preserve">Признание закупки несостоявшейся</w:t>
      </w:r>
      <w:r>
        <w:rPr>
          <w:sz w:val="24"/>
          <w:szCs w:val="24"/>
        </w:rPr>
      </w:r>
      <w:bookmarkEnd w:id="246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</w:t>
      </w:r>
      <w:r>
        <w:rPr>
          <w:rFonts w:ascii="Times New Roman" w:hAnsi="Times New Roman" w:cs="Times New Roman"/>
          <w:b w:val="0"/>
          <w:bCs w:val="0"/>
        </w:rPr>
        <w:t xml:space="preserve">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7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r>
        <w:rPr>
          <w:sz w:val="24"/>
          <w:szCs w:val="24"/>
        </w:rPr>
      </w:r>
      <w:bookmarkEnd w:id="247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</w:t>
      </w:r>
      <w:r>
        <w:t xml:space="preserve">и участник вправе направить в адрес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</w:t>
      </w:r>
      <w:r>
        <w:t xml:space="preserve">мента получения такого запроса.</w:t>
      </w:r>
      <w:r/>
    </w:p>
    <w:p>
      <w:r/>
      <w:r/>
    </w:p>
    <w:p>
      <w:pPr>
        <w:pStyle w:val="1221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48" w:name="_Toc38"/>
      <w:r/>
      <w:bookmarkStart w:id="96" w:name="Par110"/>
      <w:r/>
      <w:bookmarkStart w:id="97" w:name="Par144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r>
        <w:rPr>
          <w:sz w:val="24"/>
          <w:szCs w:val="24"/>
        </w:rPr>
      </w:r>
      <w:bookmarkEnd w:id="248"/>
      <w:r/>
      <w:r>
        <w:rPr>
          <w:sz w:val="24"/>
          <w:szCs w:val="24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9" w:name="_Toc39"/>
      <w:r/>
      <w:bookmarkStart w:id="99" w:name="_Обеспечения_исполнения_договора,"/>
      <w:r/>
      <w:bookmarkStart w:id="101" w:name="_Ref130891676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r/>
      <w:bookmarkEnd w:id="101"/>
      <w:r>
        <w:rPr>
          <w:sz w:val="24"/>
          <w:szCs w:val="24"/>
        </w:rPr>
      </w:r>
      <w:bookmarkEnd w:id="249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</w:t>
      </w:r>
      <w:r>
        <w:rPr>
          <w:rFonts w:ascii="Times New Roman" w:hAnsi="Times New Roman" w:cs="Times New Roman"/>
          <w:b w:val="0"/>
        </w:rPr>
        <w:t xml:space="preserve">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</w:t>
      </w:r>
      <w:r>
        <w:rPr>
          <w:rFonts w:ascii="Times New Roman" w:hAnsi="Times New Roman" w:cs="Times New Roman"/>
          <w:b w:val="0"/>
        </w:rPr>
        <w:t xml:space="preserve"> </w:t>
      </w:r>
      <w:hyperlink r:id="rId27" w:tooltip="https://www.consultant.ru/document/cons_doc_LAW_494318/92d969e26a4326c5d02fa79b8f9cf4994ee5633b/" w:history="1">
        <w:r>
          <w:rPr>
            <w:rStyle w:val="1441"/>
            <w:rFonts w:ascii="Times New Roman" w:hAnsi="Times New Roman" w:cs="Times New Roman"/>
            <w:b w:val="0"/>
          </w:rPr>
          <w:t xml:space="preserve">постановления Правительства РФ от 23.12.</w:t>
        </w:r>
        <w:r>
          <w:rPr>
            <w:rStyle w:val="1441"/>
            <w:rFonts w:ascii="Times New Roman" w:hAnsi="Times New Roman" w:cs="Times New Roman"/>
            <w:b w:val="0"/>
          </w:rPr>
          <w:t xml:space="preserve">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</w:t>
      </w:r>
      <w:r>
        <w:rPr>
          <w:rFonts w:ascii="Times New Roman" w:hAnsi="Times New Roman" w:cs="Times New Roman"/>
          <w:b w:val="0"/>
        </w:rPr>
        <w:t xml:space="preserve">иностранным лицом, то не допускается заключение договора на выпо</w:t>
      </w:r>
      <w:r>
        <w:rPr>
          <w:rFonts w:ascii="Times New Roman" w:hAnsi="Times New Roman" w:cs="Times New Roman"/>
          <w:b w:val="0"/>
        </w:rPr>
        <w:t xml:space="preserve">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441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</w:t>
      </w:r>
      <w:r>
        <w:rPr>
          <w:rFonts w:ascii="Times New Roman" w:hAnsi="Times New Roman" w:cs="Times New Roman"/>
          <w:b w:val="0"/>
        </w:rPr>
        <w:t xml:space="preserve">влено ограничение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</w:t>
      </w:r>
      <w:r>
        <w:rPr>
          <w:rFonts w:ascii="Times New Roman" w:hAnsi="Times New Roman" w:cs="Times New Roman"/>
          <w:b w:val="0"/>
        </w:rPr>
        <w:t xml:space="preserve">ьное предложение,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</w:t>
      </w:r>
      <w:r>
        <w:rPr>
          <w:rFonts w:ascii="Times New Roman" w:hAnsi="Times New Roman" w:cs="Times New Roman"/>
          <w:b w:val="0"/>
        </w:rPr>
        <w:t xml:space="preserve">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441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</w:t>
      </w:r>
      <w:r>
        <w:rPr>
          <w:rFonts w:ascii="Times New Roman" w:hAnsi="Times New Roman" w:cs="Times New Roman"/>
          <w:b w:val="0"/>
        </w:rPr>
        <w:t xml:space="preserve">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441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</w:t>
      </w:r>
      <w:r>
        <w:rPr>
          <w:rFonts w:ascii="Times New Roman" w:hAnsi="Times New Roman" w:cs="Times New Roman"/>
          <w:b w:val="0"/>
        </w:rPr>
        <w:t xml:space="preserve">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</w:t>
      </w:r>
      <w:r>
        <w:rPr>
          <w:rFonts w:ascii="Times New Roman" w:hAnsi="Times New Roman" w:cs="Times New Roman"/>
          <w:b w:val="0"/>
        </w:rPr>
        <w:t xml:space="preserve">ки Победителя (либо единственного участника, признанного соответствующим требованиям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</w:t>
      </w:r>
      <w:r>
        <w:rPr>
          <w:rFonts w:ascii="Times New Roman" w:hAnsi="Times New Roman" w:cs="Times New Roman"/>
          <w:b w:val="0"/>
        </w:rPr>
        <w:t xml:space="preserve">ставки 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441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</w:t>
      </w:r>
      <w:r>
        <w:rPr>
          <w:rFonts w:ascii="Times New Roman" w:hAnsi="Times New Roman" w:cs="Times New Roman"/>
          <w:b w:val="0"/>
        </w:rPr>
        <w:t xml:space="preserve">анный соответствующим требованиям документации о закупке), не предоставит в течение 3 (трех) рабочих дней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</w:t>
      </w:r>
      <w:r>
        <w:rPr>
          <w:rFonts w:ascii="Times New Roman" w:hAnsi="Times New Roman" w:cs="Times New Roman"/>
          <w:b w:val="0"/>
        </w:rPr>
        <w:t xml:space="preserve"> работ/оказании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441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сформированы Заказчиком самостоятельно, а стоимость кажд</w:t>
      </w:r>
      <w:r>
        <w:rPr>
          <w:rFonts w:ascii="Times New Roman" w:hAnsi="Times New Roman" w:cs="Times New Roman"/>
          <w:b w:val="0"/>
        </w:rPr>
        <w:t xml:space="preserve">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441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</w:t>
      </w:r>
      <w:r>
        <w:t xml:space="preserve">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534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534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534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</w:t>
      </w:r>
      <w:r>
        <w:rPr>
          <w:rFonts w:ascii="Times New Roman" w:hAnsi="Times New Roman" w:cs="Times New Roman"/>
          <w:b w:val="0"/>
        </w:rPr>
        <w:t xml:space="preserve">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</w:t>
      </w:r>
      <w:r>
        <w:rPr>
          <w:rFonts w:ascii="Times New Roman" w:hAnsi="Times New Roman" w:cs="Times New Roman"/>
          <w:b w:val="0"/>
        </w:rPr>
        <w:t xml:space="preserve">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</w:t>
      </w:r>
      <w:r>
        <w:rPr>
          <w:rFonts w:ascii="Times New Roman" w:hAnsi="Times New Roman" w:cs="Times New Roman"/>
          <w:b w:val="0"/>
          <w:bCs w:val="0"/>
        </w:rPr>
        <w:t xml:space="preserve">ии документа) подписанный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</w:t>
      </w:r>
      <w:r>
        <w:rPr>
          <w:rFonts w:ascii="Times New Roman" w:hAnsi="Times New Roman" w:cs="Times New Roman"/>
          <w:b w:val="0"/>
          <w:bCs w:val="0"/>
        </w:rPr>
        <w:t xml:space="preserve">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</w:t>
      </w:r>
      <w:r>
        <w:rPr>
          <w:rFonts w:ascii="Times New Roman" w:hAnsi="Times New Roman" w:cs="Times New Roman"/>
          <w:b w:val="0"/>
          <w:bCs w:val="0"/>
        </w:rPr>
        <w:t xml:space="preserve">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</w:t>
      </w:r>
      <w:r>
        <w:rPr>
          <w:rFonts w:ascii="Times New Roman" w:hAnsi="Times New Roman" w:cs="Times New Roman"/>
          <w:b w:val="0"/>
          <w:bCs w:val="0"/>
        </w:rPr>
        <w:t xml:space="preserve">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</w:t>
      </w:r>
      <w:r>
        <w:rPr>
          <w:rFonts w:ascii="Times New Roman" w:hAnsi="Times New Roman" w:cs="Times New Roman"/>
          <w:b w:val="0"/>
          <w:bCs w:val="0"/>
        </w:rPr>
        <w:t xml:space="preserve">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участником, обеспечивает подписание такого дог</w:t>
      </w:r>
      <w:r>
        <w:rPr>
          <w:rFonts w:ascii="Times New Roman" w:hAnsi="Times New Roman" w:cs="Times New Roman"/>
          <w:b w:val="0"/>
          <w:bCs w:val="0"/>
        </w:rPr>
        <w:t xml:space="preserve">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IV «П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</w:t>
      </w:r>
      <w:r>
        <w:rPr>
          <w:rFonts w:ascii="Times New Roman" w:hAnsi="Times New Roman" w:cs="Times New Roman"/>
          <w:b w:val="0"/>
          <w:bCs w:val="0"/>
        </w:rPr>
        <w:t xml:space="preserve">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0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r>
        <w:rPr>
          <w:sz w:val="24"/>
          <w:szCs w:val="24"/>
        </w:rPr>
      </w:r>
      <w:bookmarkEnd w:id="250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</w:t>
      </w:r>
      <w:r>
        <w:rPr>
          <w:rFonts w:ascii="Times New Roman" w:hAnsi="Times New Roman" w:cs="Times New Roman"/>
          <w:b w:val="0"/>
          <w:bCs w:val="0"/>
        </w:rPr>
        <w:t xml:space="preserve">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21 части 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21 ча</w:t>
        </w:r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</w:t>
      </w:r>
      <w:r>
        <w:rPr>
          <w:rFonts w:ascii="Times New Roman" w:hAnsi="Times New Roman" w:cs="Times New Roman"/>
          <w:b w:val="0"/>
          <w:bCs w:val="0"/>
        </w:rPr>
        <w:t xml:space="preserve">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Style w:val="1441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</w:t>
      </w:r>
      <w:r>
        <w:rPr>
          <w:rFonts w:ascii="Times New Roman" w:hAnsi="Times New Roman" w:cs="Times New Roman"/>
          <w:b w:val="0"/>
          <w:bCs w:val="0"/>
        </w:rPr>
        <w:t xml:space="preserve">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.</w:t>
        </w:r>
      </w:hyperlink>
      <w:r>
        <w:rPr>
          <w:rStyle w:val="1441"/>
          <w:rFonts w:ascii="Times New Roman" w:hAnsi="Times New Roman" w:cs="Times New Roman"/>
          <w:b w:val="0"/>
          <w:bCs w:val="0"/>
        </w:rPr>
      </w:r>
      <w:r>
        <w:rPr>
          <w:rStyle w:val="1441"/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</w:t>
      </w:r>
      <w:r>
        <w:rPr>
          <w:rFonts w:ascii="Times New Roman" w:hAnsi="Times New Roman" w:cs="Times New Roman"/>
          <w:b w:val="0"/>
        </w:rPr>
        <w:t xml:space="preserve">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</w:t>
      </w:r>
      <w:r>
        <w:rPr>
          <w:rFonts w:ascii="Times New Roman" w:hAnsi="Times New Roman" w:cs="Times New Roman"/>
          <w:b w:val="0"/>
          <w:spacing w:val="-4"/>
        </w:rPr>
        <w:t xml:space="preserve">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</w:t>
      </w:r>
      <w:r>
        <w:rPr>
          <w:rFonts w:ascii="Times New Roman" w:hAnsi="Times New Roman" w:cs="Times New Roman"/>
          <w:b w:val="0"/>
        </w:rPr>
        <w:t xml:space="preserve">ки лиц (далее – Аффилированные лица):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</w:t>
      </w:r>
      <w:r>
        <w:t xml:space="preserve">Аналитическое Кредитное Рейтинговое Агентство (Акционерное общество) или</w:t>
      </w:r>
      <w:r>
        <w:t xml:space="preserve">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платежеспособность Аффилированного лица (ежегодную или квартальную бухгалтерскую (финансовую) отчетность на послед</w:t>
      </w:r>
      <w:r>
        <w:t xml:space="preserve">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</w:t>
      </w:r>
      <w:r>
        <w:t xml:space="preserve">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</w:t>
      </w:r>
      <w:r>
        <w:t xml:space="preserve">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</w:t>
      </w:r>
      <w:r>
        <w:rPr>
          <w:spacing w:val="-4"/>
        </w:rPr>
        <w:t xml:space="preserve">верждающего, что в отношении контрагента участника закупки/бенефициарного владельца контрагента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</w:t>
      </w:r>
      <w:r>
        <w:rPr>
          <w:spacing w:val="-4"/>
        </w:rPr>
        <w:t xml:space="preserve">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</w:t>
      </w:r>
      <w:r>
        <w:t xml:space="preserve">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</w:t>
      </w:r>
      <w:r>
        <w:t xml:space="preserve">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принятия поручительства Аффилированного лица/требовать замены ранее </w:t>
      </w:r>
      <w:r>
        <w:rPr>
          <w:spacing w:val="-4"/>
        </w:rPr>
        <w:t xml:space="preserve">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</w:t>
      </w:r>
      <w:r>
        <w:rPr>
          <w:rFonts w:ascii="Times New Roman" w:hAnsi="Times New Roman" w:cs="Times New Roman"/>
          <w:b w:val="0"/>
          <w:spacing w:val="-4"/>
        </w:rPr>
        <w:t xml:space="preserve">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251" w:name="_Toc41"/>
      <w:r/>
      <w:bookmarkStart w:id="105" w:name="_Требования_к_условиям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r>
        <w:rPr>
          <w:bCs w:val="0"/>
          <w:smallCaps/>
        </w:rPr>
      </w:r>
      <w:bookmarkEnd w:id="251"/>
      <w:r/>
      <w:r>
        <w:rPr>
          <w:bCs w:val="0"/>
          <w:smallCaps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</w:t>
      </w:r>
      <w:r>
        <w:rPr>
          <w:rFonts w:ascii="Times New Roman" w:hAnsi="Times New Roman" w:cs="Times New Roman"/>
          <w:b w:val="0"/>
          <w:bCs w:val="0"/>
        </w:rPr>
        <w:t xml:space="preserve">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441"/>
            <w:bCs/>
          </w:rPr>
          <w:t xml:space="preserve">частью 1 статьи 45 Федерального закона от 5 апреля 2013 года № 44-ФЗ «О контрактной системе в сфере закупок тов</w:t>
        </w:r>
        <w:r>
          <w:rPr>
            <w:rStyle w:val="1441"/>
            <w:bCs/>
          </w:rPr>
          <w:t xml:space="preserve">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должен начинаться не позднее даты заключения договора (в случае заключения дополнительного соглашения</w:t>
      </w:r>
      <w:r>
        <w:t xml:space="preserve">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</w:t>
      </w:r>
      <w:r>
        <w:t xml:space="preserve">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</w:t>
      </w:r>
      <w:r>
        <w:t xml:space="preserve">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534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534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534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80"/>
        </w:rPr>
        <w:t xml:space="preserve">кредитная организаци</w:t>
      </w:r>
      <w:r>
        <w:rPr>
          <w:rStyle w:val="1580"/>
        </w:rPr>
        <w:t xml:space="preserve">я обладает действующей лицензией на банковскую деятельность, выданной Банком России</w:t>
      </w:r>
      <w:r>
        <w:rPr>
          <w:rStyle w:val="1580"/>
          <w:vertAlign w:val="superscript"/>
        </w:rPr>
        <w:footnoteReference w:customMarkFollows="1" w:id="10"/>
        <w:t xml:space="preserve">1</w:t>
      </w:r>
      <w:r>
        <w:rPr>
          <w:rStyle w:val="1580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80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80"/>
        </w:rPr>
        <w:t xml:space="preserve">кред</w:t>
      </w:r>
      <w:r>
        <w:rPr>
          <w:rStyle w:val="1580"/>
        </w:rPr>
        <w:t xml:space="preserve">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</w:t>
      </w:r>
      <w:r>
        <w:rPr>
          <w:rStyle w:val="1580"/>
        </w:rPr>
        <w:t xml:space="preserve">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</w:t>
      </w:r>
      <w:r>
        <w:t xml:space="preserve">в перечень кредитных организаций, соответствующих требованиям, установленным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</w:t>
      </w:r>
      <w:r>
        <w:t xml:space="preserve">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</w:t>
      </w:r>
      <w:r>
        <w:t xml:space="preserve">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</w:t>
      </w:r>
      <w:r>
        <w:rPr>
          <w:rFonts w:eastAsia="Arial Unicode MS" w:cs="Arial Unicode MS"/>
          <w:color w:val="000000"/>
        </w:rPr>
        <w:t xml:space="preserve">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</w:t>
      </w:r>
      <w:r>
        <w:t xml:space="preserve">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</w:t>
      </w:r>
      <w:r>
        <w:t xml:space="preserve">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</w:t>
      </w:r>
      <w:r>
        <w:t xml:space="preserve">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</w:t>
      </w:r>
      <w:r>
        <w:rPr>
          <w:bCs/>
        </w:rPr>
        <w:t xml:space="preserve">едитной организации может быть приостановлен.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</w:t>
      </w:r>
      <w:r>
        <w:rPr>
          <w:bCs/>
        </w:rPr>
        <w:t xml:space="preserve">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</w:t>
      </w:r>
      <w:r>
        <w:rPr>
          <w:bCs/>
        </w:rPr>
        <w:t xml:space="preserve">гаранта о назначении (избрании) единоличного исполнительного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</w:t>
      </w:r>
      <w:r>
        <w:rPr>
          <w:bCs/>
        </w:rPr>
        <w:t xml:space="preserve">оригинал/нотариально заверенная копия/ копия, заверенная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</w:t>
      </w:r>
      <w:r>
        <w:t xml:space="preserve">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</w:t>
      </w:r>
      <w:r>
        <w:rPr>
          <w:bCs/>
        </w:rPr>
        <w:t xml:space="preserve">аступлении обстоятельств, предусмотренных независимой гарантией.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</w:t>
      </w:r>
      <w:r>
        <w:t xml:space="preserve">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441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441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252" w:name="_Toc42"/>
      <w:r>
        <w:rPr>
          <w:bCs w:val="0"/>
          <w:sz w:val="24"/>
          <w:szCs w:val="24"/>
        </w:rPr>
        <w:t xml:space="preserve">Отказ от заключения договора</w:t>
      </w:r>
      <w:r>
        <w:rPr>
          <w:bCs w:val="0"/>
          <w:sz w:val="24"/>
          <w:szCs w:val="24"/>
        </w:rPr>
      </w:r>
      <w:bookmarkEnd w:id="252"/>
      <w:r/>
      <w:r>
        <w:rPr>
          <w:bCs w:val="0"/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</w:t>
      </w:r>
      <w:r>
        <w:rPr>
          <w:rFonts w:ascii="Times New Roman" w:hAnsi="Times New Roman" w:cs="Times New Roman"/>
          <w:b w:val="0"/>
        </w:rPr>
        <w:t xml:space="preserve">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</w:t>
      </w:r>
      <w:r>
        <w:rPr>
          <w:rFonts w:ascii="Times New Roman" w:hAnsi="Times New Roman" w:cs="Times New Roman"/>
          <w:b w:val="0"/>
        </w:rPr>
        <w:t xml:space="preserve">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</w:t>
      </w:r>
      <w:r>
        <w:rPr>
          <w:rFonts w:ascii="Times New Roman" w:hAnsi="Times New Roman" w:cs="Times New Roman"/>
          <w:b w:val="0"/>
        </w:rPr>
        <w:t xml:space="preserve">ствия) означают отказ от заключения договора в следующих случаях:</w:t>
      </w:r>
      <w:bookmarkEnd w:id="10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57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50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</w:t>
      </w:r>
      <w:r>
        <w:t xml:space="preserve">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</w:t>
      </w:r>
      <w:r>
        <w:t xml:space="preserve">олнения договора и срок его предоставления до заключения договора);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550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 (единственный участник соотв</w:t>
      </w:r>
      <w:r>
        <w:t xml:space="preserve">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</w:t>
      </w:r>
      <w:r>
        <w:rPr>
          <w:rFonts w:ascii="Times New Roman" w:hAnsi="Times New Roman" w:cs="Times New Roman"/>
          <w:b w:val="0"/>
        </w:rPr>
        <w:t xml:space="preserve">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</w:t>
      </w:r>
      <w:r>
        <w:rPr>
          <w:rFonts w:ascii="Times New Roman" w:hAnsi="Times New Roman" w:cs="Times New Roman"/>
          <w:b w:val="0"/>
        </w:rPr>
        <w:t xml:space="preserve">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3" w:name="_Toc43"/>
      <w:r>
        <w:rPr>
          <w:sz w:val="24"/>
          <w:szCs w:val="24"/>
        </w:rPr>
        <w:t xml:space="preserve">Изменение и расторжение договора</w:t>
      </w:r>
      <w:r>
        <w:rPr>
          <w:sz w:val="24"/>
          <w:szCs w:val="24"/>
        </w:rPr>
      </w:r>
      <w:bookmarkEnd w:id="253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</w:t>
      </w:r>
      <w:r>
        <w:rPr>
          <w:rFonts w:ascii="Times New Roman" w:hAnsi="Times New Roman" w:cs="Times New Roman"/>
          <w:b w:val="0"/>
          <w:bCs w:val="0"/>
        </w:rPr>
        <w:t xml:space="preserve">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</w:t>
      </w:r>
      <w:r>
        <w:rPr>
          <w:rFonts w:ascii="Times New Roman" w:hAnsi="Times New Roman" w:cs="Times New Roman"/>
          <w:b w:val="0"/>
          <w:bCs w:val="0"/>
        </w:rPr>
        <w:t xml:space="preserve">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</w:t>
      </w:r>
      <w:r>
        <w:rPr>
          <w:rFonts w:ascii="Times New Roman" w:hAnsi="Times New Roman" w:cs="Times New Roman"/>
          <w:b w:val="0"/>
          <w:bCs w:val="0"/>
        </w:rPr>
        <w:t xml:space="preserve"> на поставку товаров (выполнение работ, оказание услуг) заключенных с субъектами МСП,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</w:t>
      </w:r>
      <w:r>
        <w:rPr>
          <w:rFonts w:ascii="Times New Roman" w:hAnsi="Times New Roman" w:cs="Times New Roman"/>
          <w:b w:val="0"/>
          <w:bCs w:val="0"/>
        </w:rPr>
        <w:t xml:space="preserve">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441"/>
            <w:rFonts w:ascii="Times New Roman" w:hAnsi="Times New Roman" w:cs="Times New Roman"/>
            <w:b w:val="0"/>
          </w:rPr>
          <w:t xml:space="preserve">поста</w:t>
        </w:r>
        <w:r>
          <w:rPr>
            <w:rStyle w:val="1441"/>
            <w:rFonts w:ascii="Times New Roman" w:hAnsi="Times New Roman" w:cs="Times New Roman"/>
            <w:b w:val="0"/>
          </w:rPr>
          <w:t xml:space="preserve">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</w:t>
      </w:r>
      <w:r>
        <w:rPr>
          <w:rFonts w:ascii="Times New Roman" w:hAnsi="Times New Roman" w:cs="Times New Roman"/>
          <w:b w:val="0"/>
          <w:bCs w:val="0"/>
        </w:rPr>
        <w:t xml:space="preserve">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</w:t>
      </w:r>
      <w:r>
        <w:rPr>
          <w:rFonts w:ascii="Times New Roman" w:hAnsi="Times New Roman" w:cs="Times New Roman"/>
          <w:b w:val="0"/>
          <w:bCs w:val="0"/>
        </w:rPr>
        <w:t xml:space="preserve">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441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41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</w:t>
      </w:r>
      <w:r>
        <w:rPr>
          <w:rFonts w:ascii="Times New Roman" w:hAnsi="Times New Roman" w:cs="Times New Roman"/>
          <w:b w:val="0"/>
          <w:bCs w:val="0"/>
        </w:rPr>
        <w:t xml:space="preserve">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</w:t>
      </w:r>
      <w:r>
        <w:rPr>
          <w:rFonts w:ascii="Times New Roman" w:hAnsi="Times New Roman" w:cs="Times New Roman"/>
          <w:b w:val="0"/>
          <w:bCs w:val="0"/>
        </w:rPr>
        <w:t xml:space="preserve">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</w:t>
      </w:r>
      <w:r>
        <w:rPr>
          <w:rFonts w:ascii="Times New Roman" w:hAnsi="Times New Roman" w:cs="Times New Roman"/>
          <w:b w:val="0"/>
          <w:bCs w:val="0"/>
        </w:rPr>
        <w:t xml:space="preserve">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2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4" w:name="_Toc44"/>
      <w:r>
        <w:rPr>
          <w:sz w:val="24"/>
          <w:szCs w:val="24"/>
        </w:rPr>
        <w:t xml:space="preserve">Закупка продукции с разбиением заказа на лоты</w:t>
      </w:r>
      <w:r>
        <w:rPr>
          <w:sz w:val="24"/>
          <w:szCs w:val="24"/>
        </w:rPr>
      </w:r>
      <w:bookmarkEnd w:id="254"/>
      <w:r/>
      <w:r>
        <w:rPr>
          <w:sz w:val="24"/>
          <w:szCs w:val="24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</w:t>
      </w:r>
      <w:r>
        <w:rPr>
          <w:rFonts w:ascii="Times New Roman" w:hAnsi="Times New Roman" w:cs="Times New Roman"/>
          <w:b w:val="0"/>
        </w:rPr>
        <w:t xml:space="preserve">о пункте </w:t>
      </w:r>
      <w:hyperlink w:tooltip="#_Предмет_до" w:anchor="_Предмет_до" w:history="1">
        <w:r>
          <w:rPr>
            <w:rStyle w:val="1441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441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</w:t>
      </w:r>
      <w:r>
        <w:rPr>
          <w:rFonts w:ascii="Times New Roman" w:hAnsi="Times New Roman" w:cs="Times New Roman"/>
          <w:b w:val="0"/>
        </w:rPr>
        <w:t xml:space="preserve">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441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3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</w:t>
      </w:r>
      <w:r>
        <w:rPr>
          <w:rFonts w:ascii="Times New Roman" w:hAnsi="Times New Roman" w:cs="Times New Roman"/>
          <w:b w:val="0"/>
        </w:rPr>
        <w:t xml:space="preserve">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221"/>
        <w:numPr>
          <w:ilvl w:val="0"/>
          <w:numId w:val="4"/>
        </w:numPr>
        <w:ind w:left="0" w:firstLine="567"/>
        <w:spacing w:before="0" w:after="0"/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5" w:name="_Toc45"/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End w:id="112"/>
      <w:r/>
      <w:bookmarkEnd w:id="113"/>
      <w:r/>
      <w:bookmarkEnd w:id="114"/>
      <w:r>
        <w:rPr>
          <w:rStyle w:val="1392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392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r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55"/>
      <w:r/>
      <w:r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</w:t>
      </w:r>
      <w:r>
        <w:t xml:space="preserve">ет положения части </w:t>
      </w:r>
      <w:hyperlink w:tooltip="#_ОБЩИЕ_ПОЛОЖЕНИЯ" w:anchor="_ОБЩИЕ_ПОЛОЖЕНИЯ" w:history="1">
        <w:r>
          <w:rPr>
            <w:rStyle w:val="1441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441"/>
          </w:rPr>
          <w:t xml:space="preserve">I «ОБЩИЕ УСЛОВИЯ ПРОВЕД</w:t>
        </w:r>
        <w:r>
          <w:rPr>
            <w:rStyle w:val="1441"/>
          </w:rPr>
          <w:t xml:space="preserve">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441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shd w:val="clear" w:color="ddebf6" w:themeColor="accent1" w:themeTint="33" w:fill="ddebf6" w:themeFill="accent1" w:themeFillTint="33"/>
              <w:rPr>
                <w:highlight w:val="yellow"/>
              </w:rPr>
            </w:pPr>
            <w:r>
              <w:rPr>
                <w:lang w:eastAsia="en-US"/>
              </w:rPr>
              <w:t xml:space="preserve">Номер позиции Плана закупки: </w:t>
            </w:r>
            <w:r>
              <w:rPr>
                <w:lang w:eastAsia="en-US"/>
              </w:rPr>
              <w:t xml:space="preserve">351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8" w:name="_Наименование,_место_нахождения,"/>
            <w:r/>
            <w:bookmarkEnd w:id="11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АО «Россети Янтарь»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Ад</w:t>
            </w:r>
            <w:r>
              <w:rPr>
                <w:b/>
              </w:rPr>
              <w:t xml:space="preserve">рес местонахождения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236022, г. Калининград, ул. Театральная, д. 34, кабинет 214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236035, Абонентский ящик № 5065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Ман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дель Светлана Владиславовна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Моб.: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+7 (921) 972-09-96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e-mail: </w:t>
            </w:r>
            <w:hyperlink r:id="rId35" w:tooltip="Click to mail Мандель Светлана Владиславовна &lt;Mandel-SV@Rosseti-Yantar.Ru&gt;" w:history="1">
              <w:r>
                <w:rPr>
                  <w:rStyle w:val="1441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none"/>
                </w:rPr>
                <w:t xml:space="preserve">Mandel-SV@Rosseti-Yantar.Ru</w:t>
              </w:r>
            </w:hyperlink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b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Ответственный за заключение договора: </w:t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b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shd w:val="clear" w:color="ddebf6" w:themeColor="accent1" w:themeTint="33" w:fill="ddebf6" w:themeFill="accent1" w:themeFillTint="33"/>
              </w:rPr>
              <w:t xml:space="preserve">Арефьева Марина Александровна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Тел: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  <w:shd w:val="clear" w:color="ddebf6" w:themeColor="accent1" w:themeTint="33" w:fill="ddebf6" w:themeFill="accent1" w:themeFillTint="33"/>
              </w:rPr>
              <w:t xml:space="preserve">8(4012)57-07-02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  <w:p>
            <w:pPr>
              <w:jc w:val="both"/>
              <w:spacing w:after="0"/>
              <w:shd w:val="clear" w:color="ddebf6" w:themeColor="accent1" w:themeTint="33" w:fill="ddebf6" w:themeFill="accent1" w:themeFillTint="33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en-US"/>
              </w:rPr>
              <w:t xml:space="preserve">e-mail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Arefeva-MA@Rosseti-Yantar.Ru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shd w:val="clear" w:color="ddebf6" w:themeColor="accent1" w:themeTint="33" w:fill="ddebf6" w:themeFill="accent1" w:themeFillTint="33"/>
              <w:rPr>
                <w:highlight w:val="none"/>
              </w:rPr>
            </w:pPr>
            <w:r>
              <w:rPr>
                <w:b/>
              </w:rPr>
              <w:t xml:space="preserve">Предмет </w:t>
            </w:r>
            <w:r>
              <w:rPr>
                <w:b/>
                <w:highlight w:val="none"/>
              </w:rPr>
              <w:t xml:space="preserve">договора:</w:t>
            </w:r>
            <w:r>
              <w:rPr>
                <w:b/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2.2.17р)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r>
              <w:t xml:space="preserve">Количество поставляемого товара/объем выполняемой рабо</w:t>
            </w:r>
            <w: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441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</w:t>
            </w:r>
            <w: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41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41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41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41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441"/>
                </w:rPr>
                <w:t xml:space="preserve">IV «ПРОЕКТ </w:t>
              </w:r>
              <w:r>
                <w:rPr>
                  <w:rStyle w:val="1441"/>
                </w:rPr>
                <w:t xml:space="preserve">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441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shd w:val="clear" w:color="ddebf6" w:themeColor="accent1" w:themeTint="33" w:fill="ddebf6" w:themeFill="accent1" w:themeFillTint="33"/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</w:t>
            </w:r>
            <w:r>
              <w:t xml:space="preserve">50 000 000,00 </w:t>
            </w:r>
            <w:r>
              <w:rPr>
                <w:bCs/>
                <w:lang w:eastAsia="ar-SA"/>
              </w:rPr>
              <w:t xml:space="preserve">рублей без НДС / </w:t>
            </w:r>
            <w:r>
              <w:t xml:space="preserve">61 000 000,00 </w:t>
            </w:r>
            <w:r>
              <w:rPr>
                <w:bCs/>
                <w:lang w:eastAsia="ar-SA"/>
              </w:rPr>
              <w:t xml:space="preserve">рублей с НДС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223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6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441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4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1534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1534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1534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1550"/>
            </w:pPr>
            <w:r/>
            <w:r/>
          </w:p>
          <w:p>
            <w:pPr>
              <w:pStyle w:val="155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1550"/>
              <w:jc w:val="both"/>
            </w:pPr>
            <w:r/>
            <w:r/>
          </w:p>
          <w:p>
            <w:pPr>
              <w:pStyle w:val="1550"/>
              <w:jc w:val="both"/>
              <w:shd w:val="clear" w:color="ddebf6" w:themeColor="accent1" w:themeTint="33" w:fill="ddebf6" w:themeFill="accent1" w:themeFillTint="33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</w:t>
            </w:r>
            <w:r>
              <w:t xml:space="preserve">05</w:t>
            </w:r>
            <w:r>
              <w:t xml:space="preserve">» </w:t>
            </w:r>
            <w:r>
              <w:t xml:space="preserve">июня </w:t>
            </w:r>
            <w:r>
              <w:t xml:space="preserve">2026 года;</w:t>
            </w:r>
            <w:r/>
          </w:p>
          <w:p>
            <w:pPr>
              <w:pStyle w:val="1550"/>
              <w:jc w:val="both"/>
            </w:pPr>
            <w:r/>
            <w:r/>
          </w:p>
          <w:p>
            <w:pPr>
              <w:pStyle w:val="155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</w:rPr>
              <w:t xml:space="preserve">снений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550"/>
              <w:jc w:val="both"/>
              <w:shd w:val="clear" w:color="ddebf6" w:themeColor="accent1" w:themeTint="33" w:fill="ddebf6" w:themeFill="accent1" w:themeFillTint="33"/>
              <w:rPr>
                <w:highlight w:val="none"/>
              </w:rPr>
            </w:pPr>
            <w:r>
              <w:rPr>
                <w:highlight w:val="none"/>
              </w:rPr>
              <w:t xml:space="preserve">«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22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» 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июня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highlight w:val="none"/>
              </w:rPr>
              <w:t xml:space="preserve">2026 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50"/>
              <w:jc w:val="both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50"/>
              <w:jc w:val="both"/>
              <w:shd w:val="clear" w:color="ddebf6" w:themeColor="accent1" w:themeTint="33" w:fill="ddebf6" w:themeFill="accent1" w:themeFillTint="33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</w:t>
            </w:r>
            <w:r>
              <w:rPr>
                <w:b/>
                <w:bCs/>
                <w:color w:val="100cf2"/>
                <w:highlight w:val="none"/>
                <w:shd w:val="clear" w:color="ddebf6" w:themeColor="accent1" w:themeTint="33" w:fill="ddebf6" w:themeFill="accent1" w:themeFillTint="33"/>
              </w:rPr>
              <w:t xml:space="preserve">22</w:t>
            </w:r>
            <w:r>
              <w:rPr>
                <w:b/>
                <w:bCs/>
                <w:color w:val="100cf2"/>
                <w:highlight w:val="none"/>
                <w:shd w:val="clear" w:color="ddebf6" w:themeColor="accent1" w:themeTint="33" w:fill="ddebf6" w:themeFill="accent1" w:themeFillTint="33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  <w:shd w:val="clear" w:color="ddebf6" w:themeColor="accent1" w:themeTint="33" w:fill="ddebf6" w:themeFill="accent1" w:themeFillTint="33"/>
              </w:rPr>
              <w:t xml:space="preserve">июня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1550"/>
              <w:jc w:val="both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1550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1550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</w:p>
          <w:p>
            <w:pPr>
              <w:pStyle w:val="1550"/>
              <w:jc w:val="both"/>
            </w:pPr>
            <w:r>
              <w:t xml:space="preserve">Дата проведения этапа: 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«10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» 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июля 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2026 года</w:t>
            </w:r>
            <w:r>
              <w:t xml:space="preserve">.</w:t>
            </w:r>
            <w:r/>
          </w:p>
          <w:p>
            <w:pPr>
              <w:pStyle w:val="1550"/>
              <w:jc w:val="both"/>
            </w:pPr>
            <w:r/>
            <w:r/>
          </w:p>
          <w:p>
            <w:pPr>
              <w:pStyle w:val="155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</w:t>
            </w:r>
            <w:bookmarkStart w:id="129" w:name="_GoBack"/>
            <w:r/>
            <w:bookmarkEnd w:id="129"/>
            <w:r>
              <w:rPr>
                <w:color w:val="000000"/>
                <w:lang w:eastAsia="en-US"/>
              </w:rPr>
              <w:t xml:space="preserve">) часов</w:t>
            </w:r>
            <w:r>
              <w:rPr>
                <w:color w:val="000000"/>
                <w:lang w:eastAsia="en-US"/>
              </w:rPr>
              <w:t xml:space="preserve">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1550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550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550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1550"/>
              <w:jc w:val="both"/>
            </w:pPr>
            <w:r>
              <w:t xml:space="preserve">Дата проведения этапа: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 «17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» июля</w:t>
            </w:r>
            <w:r>
              <w:rPr>
                <w:shd w:val="clear" w:color="ddebf6" w:themeColor="accent1" w:themeTint="33" w:fill="ddebf6" w:themeFill="accent1" w:themeFillTint="33"/>
              </w:rPr>
              <w:t xml:space="preserve"> 2026 года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rStyle w:val="1441"/>
              </w:rPr>
            </w:r>
            <w:r>
              <w:rPr>
                <w:rStyle w:val="1441"/>
              </w:rPr>
              <w:t xml:space="preserve">https://tender.lot-online.ru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2" w:name="_Размер_обе"/>
            <w:r>
              <w:rPr>
                <w:highlight w:val="none"/>
              </w:rPr>
            </w:r>
            <w:bookmarkStart w:id="133" w:name="_Размер_обеспечения_заявок"/>
            <w:r>
              <w:rPr>
                <w:highlight w:val="none"/>
              </w:rPr>
            </w:r>
            <w:bookmarkEnd w:id="132"/>
            <w:r>
              <w:rPr>
                <w:highlight w:val="none"/>
              </w:rPr>
            </w:r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Сумма обеспечения заявки предусмотрена в размере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 2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% </w:t>
            </w:r>
            <w:r>
              <w:rPr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1 220 000,00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руб.,</w:t>
            </w:r>
            <w:r>
              <w:rPr>
                <w:highlight w:val="none"/>
              </w:rPr>
              <w:t xml:space="preserve"> НДС не облагается.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bCs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none"/>
              </w:rPr>
              <w:t xml:space="preserve">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rStyle w:val="1441"/>
                <w:highlight w:val="none"/>
              </w:rPr>
            </w:pPr>
            <w:r>
              <w:rPr>
                <w:bCs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bCs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1441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rStyle w:val="1441"/>
                <w:highlight w:val="none"/>
              </w:rPr>
            </w:r>
            <w:r>
              <w:rPr>
                <w:rStyle w:val="1441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 вступившее в законную силу решен</w:t>
            </w:r>
            <w:r>
              <w:t xml:space="preserve">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 налогам, сборам, задолженность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</w:t>
            </w:r>
            <w:r>
              <w:rPr>
                <w:bCs/>
              </w:rPr>
              <w:t xml:space="preserve">ника, по данным бухгалтерской отчетности за последний отчетный период;</w:t>
            </w:r>
            <w:r/>
          </w:p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должно </w:t>
            </w:r>
            <w:r>
              <w:rPr>
                <w:lang w:eastAsia="zh-CN"/>
              </w:rPr>
              <w:t xml:space="preserve">отсутствовать административ</w:t>
            </w:r>
            <w:r>
              <w:rPr>
                <w:lang w:eastAsia="zh-CN"/>
              </w:rPr>
              <w:t xml:space="preserve">ное наказание в виде дисквалификации.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7" w:tooltip="http://fssprus.ru/" w:history="1">
              <w:r>
                <w:rPr>
                  <w:rStyle w:val="1441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</w:t>
            </w:r>
            <w:r>
              <w:t xml:space="preserve">лет до момента подачи заявки на 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38" w:tooltip="http://www.consultant.ru/document/cons_doc_LAW_34661/f61ff313afecf81a91a43d729c2df55c1d6a1533/" w:history="1">
              <w:r>
                <w:rPr>
                  <w:rStyle w:val="1441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</w:t>
            </w:r>
            <w:r>
              <w:t xml:space="preserve">ий об Участнике в </w:t>
            </w:r>
            <w:hyperlink r:id="rId39" w:tooltip="https://zakupki.gov.ru/epz/dishonestsupplier/search/results.html" w:history="1">
              <w:r>
                <w:rPr>
                  <w:rStyle w:val="1441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0" w:tooltip="https://www.consultant.ru/document/cons_doc_LAW_116964/a3b63487ad7d07ce045a07b0f1e7a9d9b064de95/?ysclid=lgq77170fl163638946" w:history="1">
              <w:r>
                <w:rPr>
                  <w:rStyle w:val="1441"/>
                </w:rPr>
                <w:t xml:space="preserve">Фед</w:t>
              </w:r>
              <w:r>
                <w:rPr>
                  <w:rStyle w:val="1441"/>
                </w:rPr>
                <w:t xml:space="preserve">еральным законом от 18.07.2011 № 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1" w:tooltip="https://zakupki.gov.ru/epz/dishonestsupplier/search/results.html" w:history="1">
              <w:r>
                <w:rPr>
                  <w:rStyle w:val="1441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2" w:tooltip="https://www.consultant.ru/document/cons_doc_LAW_144624/af90cad46f4484d18fa490ef1c9d7a3b2fd3be3b/" w:history="1">
              <w:r>
                <w:rPr>
                  <w:rStyle w:val="1441"/>
                </w:rPr>
                <w:t xml:space="preserve"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</w:t>
            </w:r>
            <w:r>
              <w:t xml:space="preserve">частнике в </w:t>
            </w:r>
            <w:hyperlink r:id="rId43" w:tooltip="https://minjust.gov.ru/ru/activity/directions/998/" w:history="1">
              <w:r>
                <w:rPr>
                  <w:rStyle w:val="1441"/>
                </w:rPr>
                <w:t xml:space="preserve">Реестре</w:t>
              </w:r>
            </w:hyperlink>
            <w:r>
              <w:t xml:space="preserve"> иностранных агентов, размещенном на официальном сайте уполномоченного органа в информационно-телекоммуникационной </w:t>
            </w:r>
            <w:r>
              <w:t xml:space="preserve">сети «Интернет», который ведется в соответствии с </w:t>
            </w:r>
            <w:hyperlink r:id="rId44" w:tooltip="https://www.consultant.ru/document/cons_doc_LAW_421788/?ysclid=lg20fc4h7v470804950" w:history="1">
              <w:r>
                <w:rPr>
                  <w:rStyle w:val="1441"/>
                </w:rPr>
                <w:t xml:space="preserve">Федеральным законом</w:t>
              </w:r>
              <w:r>
                <w:rPr>
                  <w:rStyle w:val="1441"/>
                </w:rPr>
                <w:t xml:space="preserve">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8" w:name="_Требования,_установленные_в"/>
            <w:r>
              <w:rPr>
                <w:highlight w:val="none"/>
              </w:rPr>
            </w:r>
            <w:bookmarkEnd w:id="138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4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none"/>
              </w:rPr>
            </w:pP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Участник должен быть членом саморегулируемой организации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4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инженерных изысканий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5" w:tooltip="https://www.consultant.ru/document/cons_doc_LAW_51040/f651879e0acd4680a6fdc29f983536624055cbcc/?ysclid=lh7dhcp1aq961991988#dst1676" w:anchor="dst1676" w:history="1">
              <w:r>
                <w:rPr>
                  <w:rStyle w:val="1441"/>
                  <w:highlight w:val="none"/>
                </w:rPr>
                <w:t xml:space="preserve">2.1 статьи 47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</w:t>
            </w:r>
            <w:r>
              <w:rPr>
                <w:highlight w:val="none"/>
              </w:rPr>
              <w:t xml:space="preserve">ммуникационной сети «Интернет», на которых размещены эти информация и документы: </w:t>
            </w:r>
            <w:hyperlink r:id="rId46" w:tooltip="https://nopriz.ru/" w:history="1">
              <w:r>
                <w:rPr>
                  <w:rStyle w:val="1441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;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4"/>
              <w:numPr>
                <w:ilvl w:val="0"/>
                <w:numId w:val="30"/>
              </w:numPr>
              <w:ind w:left="0" w:firstLine="283"/>
              <w:jc w:val="both"/>
              <w:rPr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проектирования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архитектурно-строительного проектирования в случаях, которые перечислен</w:t>
            </w:r>
            <w:r>
              <w:rPr>
                <w:highlight w:val="none"/>
              </w:rPr>
              <w:t xml:space="preserve">ы в </w:t>
            </w:r>
            <w:hyperlink r:id="rId47" w:tooltip="https://www.consultant.ru/document/cons_doc_LAW_51040/b884020ea7453099ba8bc9ca021b84982cadea7d/?ysclid=lh7dkmbcyr186717647#dst1683" w:anchor="dst1683" w:history="1">
              <w:r>
                <w:rPr>
                  <w:rStyle w:val="1441"/>
                  <w:highlight w:val="non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48" w:tooltip="https://nopriz.ru/" w:history="1">
              <w:r>
                <w:rPr>
                  <w:rStyle w:val="1441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4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строительства, р</w:t>
            </w: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еконструкции, капитального ремонта объектов капитального строительства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highlight w:val="none"/>
              </w:rPr>
              <w:t xml:space="preserve">(не требуется членство в саморегулируемых организациях в области строительства, реконструкции, капитального ремонта в случаях, которые перечислены в </w:t>
            </w:r>
            <w:hyperlink r:id="rId49" w:tooltip="https://www.consultant.ru/document/cons_doc_LAW_51040/df32b8231cf067c4d4e864c717eb6b398358b504/?ysclid=lh7dmiyi73943741650#dst1696" w:anchor="dst1696" w:history="1">
              <w:r>
                <w:rPr>
                  <w:rStyle w:val="1441"/>
                  <w:highlight w:val="none"/>
                </w:rPr>
                <w:t xml:space="preserve">част</w:t>
              </w:r>
              <w:r>
                <w:rPr>
                  <w:rStyle w:val="1441"/>
                  <w:highlight w:val="none"/>
                </w:rPr>
                <w:t xml:space="preserve">и 2.1 и в части 2.2 статьи 52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0" w:tooltip="https://nostroy.ru/" w:history="1">
              <w:r>
                <w:rPr>
                  <w:rStyle w:val="1441"/>
                  <w:highlight w:val="none"/>
                </w:rPr>
                <w:t xml:space="preserve">https://nostroy.ru/</w:t>
              </w:r>
            </w:hyperlink>
            <w:r>
              <w:rPr>
                <w:rStyle w:val="1441"/>
                <w:color w:val="auto"/>
                <w:highlight w:val="none"/>
                <w:u w:val="none"/>
              </w:rPr>
              <w:t xml:space="preserve">;</w:t>
            </w:r>
            <w:r>
              <w:rPr>
                <w:rStyle w:val="1441"/>
                <w:i/>
                <w:color w:val="auto"/>
                <w:highlight w:val="none"/>
                <w:u w:val="none"/>
              </w:rPr>
              <w:t xml:space="preserve">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4"/>
              <w:ind w:left="0"/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Участник закупки, должен иметь право выполнять работы в отношении объектов капитального строительства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4"/>
              <w:ind w:left="0"/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Саморегулируемая</w:t>
            </w:r>
            <w:r>
              <w:rPr>
                <w:highlight w:val="none"/>
              </w:rPr>
              <w:t xml:space="preserve">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auto" w:fill="ffffff"/>
              <w:rPr>
                <w:highlight w:val="none"/>
              </w:rPr>
            </w:pPr>
            <w:r>
              <w:rPr>
                <w:highlight w:val="none"/>
              </w:rPr>
      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</w:t>
            </w:r>
            <w:r>
              <w:rPr>
                <w:highlight w:val="none"/>
              </w:rPr>
              <w:t xml:space="preserve">овень ответственности участника по компенсационному фонду обеспечения договорных обязательств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534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</w:t>
            </w:r>
            <w:r>
              <w:t xml:space="preserve">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32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иметь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</w:t>
            </w:r>
            <w:r>
              <w:t xml:space="preserve">ичных договоров на общую сумму (без НДС) не менее 80% (восемьдесят процентов) стоимости начальной (максимальной) цены договора (лота) (без НДС), установленной в настоящей информационной карте закупки.</w:t>
            </w:r>
            <w:r/>
          </w:p>
          <w:p>
            <w:pPr>
              <w:contextualSpacing/>
              <w:jc w:val="both"/>
              <w:spacing w:after="0" w:line="240" w:lineRule="auto"/>
              <w:shd w:val="clear" w:color="ddebf6" w:themeColor="accent1" w:themeTint="33" w:fill="ddebf6" w:themeFill="accent1" w:themeFillTint="33"/>
              <w:rPr>
                <w:rFonts w:cstheme="minorHAnsi"/>
                <w:i/>
                <w:color w:val="100cf2"/>
              </w:rPr>
            </w:pPr>
            <w:r>
              <w:rPr>
                <w:b/>
                <w:highlight w:val="none"/>
              </w:rPr>
              <w:t xml:space="preserve">При этом аналогичными договорами будут признаны договор</w:t>
            </w:r>
            <w:r>
              <w:rPr>
                <w:b/>
                <w:highlight w:val="none"/>
              </w:rPr>
              <w:t xml:space="preserve">ы на: </w:t>
            </w:r>
            <w:r>
              <w:rPr>
                <w:rFonts w:cstheme="minorHAnsi"/>
                <w:i/>
                <w:color w:val="100cf2"/>
                <w:highlight w:val="none"/>
              </w:rPr>
              <w:t xml:space="preserve">Выполне</w:t>
            </w:r>
            <w:r>
              <w:rPr>
                <w:rFonts w:cstheme="minorHAnsi"/>
                <w:i/>
                <w:color w:val="100cf2"/>
              </w:rPr>
              <w:t xml:space="preserve">ние работ «под ключ» по строительству/реконструкции/ремонту объектов электросетевого хозяйства напряжением от 0,4 </w:t>
            </w:r>
            <w:r>
              <w:rPr>
                <w:rFonts w:cstheme="minorHAnsi"/>
                <w:i/>
                <w:color w:val="100cf2"/>
              </w:rPr>
              <w:t xml:space="preserve">кВ</w:t>
            </w:r>
            <w:r>
              <w:rPr>
                <w:rFonts w:cstheme="minorHAnsi"/>
                <w:i/>
                <w:color w:val="100cf2"/>
              </w:rPr>
              <w:t xml:space="preserve"> до 15 </w:t>
            </w:r>
            <w:r>
              <w:rPr>
                <w:rFonts w:cstheme="minorHAnsi"/>
                <w:i/>
                <w:color w:val="100cf2"/>
              </w:rPr>
              <w:t xml:space="preserve">кВ</w:t>
            </w:r>
            <w:r>
              <w:rPr>
                <w:rFonts w:cstheme="minorHAnsi"/>
                <w:i/>
                <w:color w:val="100cf2"/>
              </w:rPr>
              <w:t xml:space="preserve">, мощностью от 1 до 150 кВт.</w:t>
            </w:r>
            <w:r>
              <w:rPr>
                <w:rFonts w:cstheme="minorHAnsi"/>
                <w:i/>
                <w:color w:val="100cf2"/>
              </w:rPr>
            </w:r>
            <w:r>
              <w:rPr>
                <w:rFonts w:cstheme="minorHAnsi"/>
                <w:i/>
                <w:color w:val="100cf2"/>
              </w:rPr>
            </w:r>
          </w:p>
          <w:p>
            <w:pPr>
              <w:contextualSpacing/>
              <w:jc w:val="both"/>
              <w:spacing w:after="0" w:line="240" w:lineRule="auto"/>
              <w:shd w:val="clear" w:color="ddebf6" w:themeColor="accent1" w:themeTint="33" w:fill="ddebf6" w:themeFill="accent1" w:themeFillTint="33"/>
              <w:rPr>
                <w:rFonts w:cstheme="minorHAnsi"/>
                <w:i/>
                <w:color w:val="100cf2"/>
              </w:rPr>
            </w:pPr>
            <w:r>
              <w:rPr>
                <w:rFonts w:cstheme="minorHAnsi"/>
                <w:i/>
                <w:color w:val="100cf2"/>
              </w:rPr>
              <w:t xml:space="preserve">Выполнение работ по проектированию объектов электросетевого хозяйства напряжением от 0,4 </w:t>
            </w:r>
            <w:r>
              <w:rPr>
                <w:rFonts w:cstheme="minorHAnsi"/>
                <w:i/>
                <w:color w:val="100cf2"/>
              </w:rPr>
              <w:t xml:space="preserve">кВ</w:t>
            </w:r>
            <w:r>
              <w:rPr>
                <w:rFonts w:cstheme="minorHAnsi"/>
                <w:i/>
                <w:color w:val="100cf2"/>
              </w:rPr>
              <w:t xml:space="preserve"> до 15 </w:t>
            </w:r>
            <w:r>
              <w:rPr>
                <w:rFonts w:cstheme="minorHAnsi"/>
                <w:i/>
                <w:color w:val="100cf2"/>
              </w:rPr>
              <w:t xml:space="preserve">кВ</w:t>
            </w:r>
            <w:r>
              <w:rPr>
                <w:rFonts w:cstheme="minorHAnsi"/>
                <w:i/>
                <w:color w:val="100cf2"/>
              </w:rPr>
              <w:t xml:space="preserve">, мощностью от 1 до 150 кВт.</w:t>
            </w:r>
            <w:r>
              <w:rPr>
                <w:rFonts w:cstheme="minorHAnsi"/>
                <w:i/>
                <w:color w:val="100cf2"/>
              </w:rPr>
            </w:r>
            <w:r>
              <w:rPr>
                <w:rFonts w:cstheme="minorHAnsi"/>
                <w:i/>
                <w:color w:val="100cf2"/>
              </w:rPr>
            </w:r>
          </w:p>
          <w:p>
            <w:pPr>
              <w:contextualSpacing/>
              <w:jc w:val="both"/>
              <w:spacing w:after="0" w:line="240" w:lineRule="auto"/>
              <w:shd w:val="clear" w:color="ddebf6" w:themeColor="accent1" w:themeTint="33" w:fill="ddebf6" w:themeFill="accent1" w:themeFillTint="33"/>
              <w:rPr>
                <w:rFonts w:cstheme="minorHAnsi"/>
                <w:i/>
                <w:color w:val="100cf2"/>
              </w:rPr>
            </w:pPr>
            <w:r>
              <w:rPr>
                <w:rFonts w:cstheme="minorHAnsi"/>
                <w:i/>
                <w:color w:val="100cf2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</w:t>
            </w:r>
            <w:r>
              <w:rPr>
                <w:rFonts w:cstheme="minorHAnsi"/>
                <w:i/>
                <w:color w:val="100cf2"/>
              </w:rPr>
              <w:t xml:space="preserve">кВ</w:t>
            </w:r>
            <w:r>
              <w:rPr>
                <w:rFonts w:cstheme="minorHAnsi"/>
                <w:i/>
                <w:color w:val="100cf2"/>
              </w:rPr>
              <w:t xml:space="preserve"> до 15 </w:t>
            </w:r>
            <w:r>
              <w:rPr>
                <w:rFonts w:cstheme="minorHAnsi"/>
                <w:i/>
                <w:color w:val="100cf2"/>
              </w:rPr>
              <w:t xml:space="preserve">кВ</w:t>
            </w:r>
            <w:r>
              <w:rPr>
                <w:rFonts w:cstheme="minorHAnsi"/>
                <w:i/>
                <w:color w:val="100cf2"/>
              </w:rPr>
              <w:t xml:space="preserve">, мощностью от 1 до 150 кВт.</w:t>
            </w:r>
            <w:r>
              <w:rPr>
                <w:rFonts w:cstheme="minorHAnsi"/>
                <w:i/>
                <w:color w:val="100cf2"/>
              </w:rPr>
            </w:r>
            <w:r>
              <w:rPr>
                <w:rFonts w:cstheme="minorHAnsi"/>
                <w:i/>
                <w:color w:val="100cf2"/>
              </w:rPr>
            </w:r>
          </w:p>
          <w:p>
            <w:pPr>
              <w:spacing w:after="0"/>
              <w:rPr>
                <w:b/>
                <w:bCs/>
                <w:i/>
                <w:u w:val="single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  <w:p>
            <w:pPr>
              <w:spacing w:after="0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</w:t>
            </w:r>
            <w:r>
              <w:t xml:space="preserve">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</w:t>
            </w:r>
            <w:r>
              <w:t xml:space="preserve">на), либо в актах выполненных работ. </w:t>
            </w:r>
            <w:r/>
          </w:p>
          <w:p>
            <w:pPr>
              <w:pStyle w:val="1508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441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</w:t>
            </w:r>
            <w:r>
              <w:rPr>
                <w:lang w:eastAsia="en-US"/>
              </w:rPr>
              <w:t xml:space="preserve">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441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понижения цены.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441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</w:t>
            </w:r>
            <w:r>
              <w:rPr>
                <w:bCs/>
                <w:color w:val="ff0000"/>
                <w:lang w:eastAsia="en-US"/>
              </w:rPr>
              <w:t xml:space="preserve"> уполномоченным лицом участника.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441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441"/>
                <w:color w:val="auto"/>
                <w:u w:val="none"/>
                <w:lang w:eastAsia="en-US"/>
              </w:rPr>
            </w:r>
            <w:r>
              <w:rPr>
                <w:rStyle w:val="1441"/>
                <w:color w:val="auto"/>
                <w:u w:val="none"/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441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</w:t>
            </w:r>
            <w:r>
              <w:rPr>
                <w:lang w:eastAsia="en-US"/>
              </w:rPr>
              <w:t xml:space="preserve">тации о закупке (часть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441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</w:t>
            </w:r>
            <w:r>
              <w:rPr>
                <w:rStyle w:val="1441"/>
                <w:color w:val="auto"/>
                <w:u w:val="none"/>
                <w:lang w:eastAsia="en-US"/>
              </w:rPr>
              <w:t xml:space="preserve">ми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 полно</w:t>
            </w:r>
            <w:r>
              <w:rPr>
                <w:lang w:eastAsia="en-US"/>
              </w:rPr>
              <w:t xml:space="preserve">мочия лица, подписавшего 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</w:t>
            </w:r>
            <w:r>
              <w:rPr>
                <w:lang w:eastAsia="en-US"/>
              </w:rPr>
              <w:t xml:space="preserve">ка из Единого государственного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</w:t>
            </w:r>
            <w:r>
              <w:rPr>
                <w:lang w:eastAsia="en-US"/>
              </w:rPr>
              <w:t xml:space="preserve">едерации по налогом и сборам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подписью налогового о</w:t>
            </w:r>
            <w:r>
              <w:rPr>
                <w:lang w:eastAsia="en-US"/>
              </w:rPr>
              <w:t xml:space="preserve">ргана, и сформированную, не ранее, чем за 60 (шестьдесят) календарных  дней до срока окончания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</w:t>
            </w:r>
            <w:r>
              <w:rPr>
                <w:lang w:eastAsia="en-US"/>
              </w:rPr>
              <w:t xml:space="preserve">го  документа», размещенного на официальном сайте ФНС России в сети Интернет по адресу </w:t>
            </w:r>
            <w:hyperlink r:id="rId51" w:tooltip="https://service.nalog.ru/vyp/" w:history="1">
              <w:r>
                <w:rPr>
                  <w:rStyle w:val="1441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</w:t>
            </w:r>
            <w:r>
              <w:rPr>
                <w:lang w:eastAsia="en-US"/>
              </w:rPr>
              <w:t xml:space="preserve">нениями;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441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</w:t>
            </w:r>
            <w:r>
              <w:rPr>
                <w:lang w:eastAsia="en-US"/>
              </w:rPr>
              <w:t xml:space="preserve">закупке (часть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</w:t>
            </w:r>
            <w:r>
              <w:rPr>
                <w:i/>
                <w:lang w:eastAsia="en-US"/>
              </w:rPr>
              <w:t xml:space="preserve">ктивный участник не принимает участие в закупке);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441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</w:t>
            </w:r>
            <w:r>
              <w:rPr>
                <w:lang w:eastAsia="en-US"/>
              </w:rPr>
              <w:t xml:space="preserve">.07.2007 № 209-ФЗ «О развитии 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</w:t>
            </w:r>
            <w:r>
              <w:rPr>
                <w:rFonts w:eastAsia="Calibri"/>
                <w:lang w:eastAsia="en-US"/>
              </w:rPr>
              <w:t xml:space="preserve">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</w:t>
            </w:r>
            <w:r>
              <w:rPr>
                <w:rFonts w:eastAsia="Calibri"/>
                <w:i/>
                <w:iCs/>
                <w:lang w:eastAsia="en-US"/>
              </w:rPr>
              <w:t xml:space="preserve">равке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</w:t>
            </w:r>
            <w:r>
              <w:rPr>
                <w:rFonts w:eastAsia="Calibri"/>
                <w:i/>
                <w:iCs/>
                <w:lang w:eastAsia="en-US"/>
              </w:rPr>
              <w:t xml:space="preserve"> участник в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</w:t>
            </w:r>
            <w:r>
              <w:rPr>
                <w:rFonts w:eastAsia="Calibri"/>
                <w:i/>
                <w:iCs/>
                <w:lang w:eastAsia="en-US"/>
              </w:rPr>
              <w:t xml:space="preserve">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534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подписанного усиленной квалиф</w:t>
            </w:r>
            <w:r>
              <w:t xml:space="preserve">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534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</w:t>
            </w:r>
            <w:r>
              <w:t xml:space="preserve">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534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492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492"/>
              <w:numPr>
                <w:ilvl w:val="0"/>
                <w:numId w:val="40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492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</w:t>
            </w:r>
            <w:r>
              <w:rPr>
                <w:i/>
                <w:iCs/>
              </w:rPr>
              <w:t xml:space="preserve">темы налогообложения</w:t>
            </w:r>
            <w:r>
              <w:t xml:space="preserve">:</w:t>
            </w:r>
            <w:r/>
          </w:p>
          <w:p>
            <w:pPr>
              <w:pStyle w:val="1492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492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41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441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</w:t>
            </w:r>
            <w:r>
              <w:rPr>
                <w:lang w:eastAsia="en-US"/>
              </w:rPr>
              <w:t xml:space="preserve">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41"/>
                <w:color w:val="auto"/>
                <w:u w:val="none"/>
                <w:lang w:eastAsia="en-US"/>
              </w:rPr>
            </w:r>
            <w:r>
              <w:rPr>
                <w:rStyle w:val="1441"/>
                <w:color w:val="auto"/>
                <w:u w:val="none"/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441"/>
                  <w:lang w:eastAsia="en-US"/>
                </w:rPr>
                <w:t xml:space="preserve">СПРАВКА (ИНФОРМАЦИЯ) О СОБСТВЕННИКАХ УЧАСТНИКА ЗАКУПКИ (ВКЛЮЧАЯ КОНЕЧНЫХ БЕНЕФИЦИА</w:t>
              </w:r>
              <w:r>
                <w:rPr>
                  <w:rStyle w:val="1441"/>
                  <w:lang w:eastAsia="en-US"/>
                </w:rPr>
                <w:t xml:space="preserve">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441"/>
                <w:color w:val="auto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441"/>
                  <w:lang w:eastAsia="en-US"/>
                </w:rPr>
                <w:t xml:space="preserve">СОГЛАСИЕ НА ОБРАБОТКУ ПЕ</w:t>
              </w:r>
              <w:r>
                <w:rPr>
                  <w:rStyle w:val="1441"/>
                  <w:lang w:eastAsia="en-US"/>
                </w:rPr>
                <w:t xml:space="preserve">РСОНАЛЬНЫХ ДАННЫХ ОТ СОБСТВЕННИКОВ УЧАСТНИКА (ВКЛЮЧАЯ КОНЕЧНЫХ БЕНЕФИЦИАРОВ)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41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441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</w:t>
              </w:r>
              <w:r>
                <w:rPr>
                  <w:rStyle w:val="1441"/>
                  <w:lang w:eastAsia="en-US"/>
                </w:rPr>
                <w:t xml:space="preserve">И ЗАКУПКИ»</w:t>
              </w:r>
            </w:hyperlink>
            <w:r>
              <w:rPr>
                <w:rStyle w:val="1441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41"/>
                <w:color w:val="auto"/>
                <w:u w:val="none"/>
                <w:lang w:eastAsia="en-US"/>
              </w:rPr>
            </w:r>
            <w:r>
              <w:rPr>
                <w:rStyle w:val="1441"/>
                <w:color w:val="auto"/>
                <w:u w:val="none"/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</w:t>
            </w:r>
            <w:r>
              <w:rPr>
                <w:lang w:eastAsia="en-US"/>
              </w:rPr>
              <w:t xml:space="preserve">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441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</w:t>
            </w:r>
            <w:r>
              <w:rPr>
                <w:lang w:eastAsia="en-US"/>
              </w:rPr>
              <w:t xml:space="preserve">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441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</w:t>
            </w:r>
            <w:r>
              <w:rPr>
                <w:lang w:eastAsia="en-US"/>
              </w:rPr>
              <w:t xml:space="preserve">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441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</w:t>
            </w:r>
            <w:r>
              <w:rPr>
                <w:i/>
                <w:lang w:eastAsia="en-US"/>
              </w:rPr>
              <w:t xml:space="preserve">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441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441"/>
                  <w:lang w:eastAsia="en-US"/>
                </w:rPr>
                <w:t xml:space="preserve">3.4.6</w:t>
              </w:r>
            </w:hyperlink>
            <w:r>
              <w:rPr>
                <w:rStyle w:val="1441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</w:t>
            </w:r>
            <w:r>
              <w:rPr>
                <w:bCs/>
                <w:i/>
                <w:lang w:eastAsia="en-US"/>
              </w:rPr>
              <w:t xml:space="preserve">ется в случае выбора Участником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441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44" w:name="_Документы,"/>
            <w:r>
              <w:rPr>
                <w:highlight w:val="none"/>
              </w:rPr>
            </w:r>
            <w:bookmarkStart w:id="145" w:name="_Соответствие_требованиям,_установле"/>
            <w:r>
              <w:rPr>
                <w:highlight w:val="none"/>
              </w:rPr>
            </w:r>
            <w:bookmarkEnd w:id="144"/>
            <w:r>
              <w:rPr>
                <w:highlight w:val="none"/>
              </w:rPr>
            </w:r>
            <w:bookmarkEnd w:id="145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а именно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none"/>
              </w:rPr>
            </w:pPr>
            <w:r>
              <w:rPr>
                <w:highlight w:val="none"/>
                <w:shd w:val="clear" w:color="ddebf6" w:themeColor="accent1" w:themeTint="33" w:fill="ddebf6" w:themeFill="accent1" w:themeFillTint="33"/>
                <w:lang w:eastAsia="en-US"/>
              </w:rPr>
              <w:t xml:space="preserve">Не требуются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92"/>
              <w:numPr>
                <w:ilvl w:val="0"/>
                <w:numId w:val="95"/>
              </w:numPr>
              <w:ind w:left="0" w:firstLine="283"/>
              <w:tabs>
                <w:tab w:val="left" w:pos="383" w:leader="none"/>
              </w:tabs>
            </w:pPr>
            <w:r/>
            <w:hyperlink w:tooltip="#_ФОРМА_Спра_2" w:anchor="_ФОРМА_Спра_2" w:history="1">
              <w:r>
                <w:rPr>
                  <w:rStyle w:val="1441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t xml:space="preserve">, </w:t>
            </w:r>
            <w:r>
              <w:rPr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41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92"/>
              <w:numPr>
                <w:ilvl w:val="0"/>
                <w:numId w:val="95"/>
              </w:numPr>
              <w:ind w:left="0" w:firstLine="283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/>
          </w:p>
          <w:p>
            <w:pPr>
              <w:pStyle w:val="1492"/>
              <w:numPr>
                <w:ilvl w:val="0"/>
                <w:numId w:val="95"/>
              </w:numPr>
              <w:ind w:left="0" w:firstLine="283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</w:t>
            </w:r>
            <w:r>
              <w:t xml:space="preserve">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550"/>
              <w:ind w:firstLine="1276"/>
              <w:jc w:val="both"/>
              <w:tabs>
                <w:tab w:val="left" w:pos="459" w:leader="none"/>
                <w:tab w:val="left" w:pos="1985" w:leader="none"/>
              </w:tabs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94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92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441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94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Исполнение обязательств Подрядчика по исполнению работ по Договору обеспечивается одним из способов обеспечения: 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Независимой гарантией на исполнение обязательств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лота), но не менее 5% от цены Договора;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Гарантийным депозитом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10%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цены договора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(не применяется для МCП)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Обеспечительным платежом в размере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 3%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441"/>
                  <w:highlight w:val="none"/>
                </w:rPr>
                <w:t xml:space="preserve">IV «ПРОЕКТ ДОГОВОРА»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iCs/>
                <w:highlight w:val="none"/>
              </w:rPr>
              <w:t xml:space="preserve">Порядок внесения денежных средств и </w:t>
            </w:r>
            <w:r>
              <w:rPr>
                <w:highlight w:val="none"/>
              </w:rPr>
              <w:t xml:space="preserve">условия независимой гарантии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441"/>
                  <w:highlight w:val="none"/>
                </w:rPr>
                <w:t xml:space="preserve">6 части I «ОБЩИЕ УСЛОВИЯ ПРОВЕДЕНИЯ ЗАКУПКИ».</w:t>
              </w:r>
            </w:hyperlink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В случае принятия участником закупки решения о предоставлении обеспечения исполнения обязательств по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441"/>
                  <w:highlight w:val="none"/>
                </w:rPr>
                <w:t xml:space="preserve">IV «ПРОЕКТ ДОГОВОРА»</w:t>
              </w:r>
            </w:hyperlink>
            <w:r>
              <w:rPr>
                <w:rStyle w:val="1441"/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94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441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94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4"/>
              <w:numPr>
                <w:ilvl w:val="0"/>
                <w:numId w:val="94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3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1223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3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534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1701"/>
        <w:gridCol w:w="1779"/>
        <w:gridCol w:w="8079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08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08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08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</w:t>
            </w:r>
            <w:r>
              <w:rPr>
                <w:rFonts w:ascii="Times New Roman" w:hAnsi="Times New Roman" w:cs="Times New Roman"/>
                <w:b/>
              </w:rPr>
              <w:t xml:space="preserve">начение критерия (V)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08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079" w:type="dxa"/>
            <w:vAlign w:val="center"/>
            <w:textDirection w:val="lrTb"/>
            <w:noWrap w:val="false"/>
          </w:tcPr>
          <w:p>
            <w:pPr>
              <w:pStyle w:val="1508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08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08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508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0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0 %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08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</m:t>
                    </m:r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</w:t>
            </w:r>
            <w:r>
              <w:t xml:space="preserve">ожений рассчитывается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</w:t>
            </w:r>
            <w:r>
              <w:t xml:space="preserve">й по ценовому критерию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508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441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508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vMerge w:val="restart"/>
            <w:textDirection w:val="lrTb"/>
            <w:noWrap w:val="false"/>
          </w:tcPr>
          <w:p>
            <w:pPr>
              <w:pStyle w:val="1508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  <w:p>
            <w:pPr>
              <w:pStyle w:val="1508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</w:p>
          <w:p>
            <w:pPr>
              <w:pStyle w:val="1508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1508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30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vMerge w:val="restart"/>
            <w:textDirection w:val="lrTb"/>
            <w:noWrap w:val="false"/>
          </w:tcPr>
          <w:p>
            <w:pPr>
              <w:pStyle w:val="1508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</m:t>
                  </m:r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</w:t>
            </w:r>
            <w:r>
              <w:rPr>
                <w:highlight w:val="white"/>
              </w:rPr>
              <w:t xml:space="preserve">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41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</w:t>
            </w:r>
            <w:r>
              <w:rPr>
                <w:highlight w:val="white"/>
              </w:rPr>
              <w:t xml:space="preserve">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отборочным требованиям. При этом, если наибольшая величина опыта исполнения аналогич</w:t>
            </w:r>
            <w:r>
              <w:rPr>
                <w:highlight w:val="white"/>
              </w:rPr>
              <w:t xml:space="preserve">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41"/>
                </w:rPr>
                <w:t xml:space="preserve">7 час</w:t>
              </w:r>
              <w:r>
                <w:rPr>
                  <w:rStyle w:val="1441"/>
                </w:rPr>
                <w:t xml:space="preserve">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41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</w:t>
            </w:r>
            <w:r>
              <w:rPr>
                <w:highlight w:val="white"/>
              </w:rPr>
              <w:t xml:space="preserve">личенной в 10 (десять) раз.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508"/>
              <w:ind w:left="13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оворы на: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</w:p>
          <w:p>
            <w:pPr>
              <w:pStyle w:val="1508"/>
              <w:ind w:left="13" w:firstLine="0"/>
              <w:jc w:val="both"/>
              <w:shd w:val="clear" w:color="ddebf6" w:themeColor="accent1" w:themeTint="33" w:fill="ddebf6" w:themeFill="accent1" w:themeFillTint="33"/>
              <w:rPr>
                <w:rFonts w:ascii="Times New Roman" w:hAnsi="Times New Roman" w:cs="Times New Roman"/>
                <w:b w:val="0"/>
                <w:bCs w:val="0"/>
                <w:i/>
                <w:color w:val="100cf2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100cf2"/>
                <w:sz w:val="24"/>
                <w:szCs w:val="24"/>
                <w:highlight w:val="none"/>
              </w:rPr>
            </w:r>
          </w:p>
          <w:p>
            <w:pPr>
              <w:pStyle w:val="1508"/>
              <w:ind w:left="13" w:firstLine="0"/>
              <w:jc w:val="both"/>
              <w:shd w:val="clear" w:color="ddebf6" w:themeColor="accent1" w:themeTint="33" w:fill="ddebf6" w:themeFill="accent1" w:themeFillTint="33"/>
              <w:rPr>
                <w:b w:val="0"/>
                <w:bCs w:val="0"/>
                <w:i/>
                <w:color w:val="100cf2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кВт.</w:t>
            </w:r>
            <w:r>
              <w:rPr>
                <w:b w:val="0"/>
                <w:bCs w:val="0"/>
                <w:i/>
                <w:color w:val="100cf2"/>
                <w:highlight w:val="none"/>
              </w:rPr>
            </w:r>
            <w:r>
              <w:rPr>
                <w:b w:val="0"/>
                <w:bCs w:val="0"/>
                <w:i/>
                <w:color w:val="100cf2"/>
                <w:highlight w:val="none"/>
              </w:rPr>
            </w:r>
          </w:p>
          <w:p>
            <w:pPr>
              <w:pStyle w:val="1508"/>
              <w:ind w:left="13" w:firstLine="0"/>
              <w:jc w:val="both"/>
              <w:shd w:val="clear" w:color="ddebf6" w:themeColor="accent1" w:themeTint="33" w:fill="ddebf6" w:themeFill="accent1" w:themeFillTint="33"/>
              <w:rPr>
                <w:rFonts w:ascii="Times New Roman" w:hAnsi="Times New Roman" w:cs="Times New Roman"/>
                <w:b w:val="0"/>
                <w:bCs w:val="0"/>
                <w:i/>
                <w:color w:val="100cf2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100cf2"/>
                <w:sz w:val="24"/>
                <w:szCs w:val="24"/>
                <w:highlight w:val="none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100cf2"/>
                <w:sz w:val="24"/>
                <w:szCs w:val="24"/>
                <w:highlight w:val="non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</w:t>
            </w:r>
            <w:r>
              <w:t xml:space="preserve">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</w:t>
            </w:r>
            <w:r>
              <w:t xml:space="preserve">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</w:t>
            </w:r>
            <w:r>
              <w:rPr>
                <w:b/>
                <w:bCs/>
              </w:rPr>
              <w:t xml:space="preserve">одтверждающие документы</w:t>
            </w:r>
            <w:r>
              <w:t xml:space="preserve">:</w:t>
            </w:r>
            <w:r/>
          </w:p>
          <w:p>
            <w:pPr>
              <w:pStyle w:val="1492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441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441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441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1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2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ним;</w:t>
            </w:r>
            <w:r/>
          </w:p>
          <w:p>
            <w:pPr>
              <w:pStyle w:val="1492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</w:t>
            </w:r>
            <w:r>
              <w:t xml:space="preserve">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492"/>
              <w:numPr>
                <w:ilvl w:val="0"/>
                <w:numId w:val="53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</w:t>
            </w:r>
            <w:r>
              <w:t xml:space="preserve">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508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</w:t>
            </w:r>
            <w:r>
              <w:t xml:space="preserve">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534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</w:t>
      </w:r>
      <w:r>
        <w:rPr>
          <w:rFonts w:eastAsia="Calibri"/>
          <w:lang w:eastAsia="en-US"/>
        </w:rPr>
        <w:t xml:space="preserve">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</w:t>
      </w:r>
      <w:r>
        <w:rPr>
          <w:rFonts w:eastAsia="Calibri"/>
          <w:lang w:eastAsia="en-US"/>
        </w:rPr>
        <w:t xml:space="preserve">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) + … </w:t>
      </w:r>
      <w:r>
        <w:rPr>
          <w:rFonts w:eastAsia="Calibri"/>
          <w:lang w:eastAsia="en-US"/>
        </w:rPr>
        <w:t xml:space="preserve">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x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V</w:t>
      </w:r>
      <w:r>
        <w:rPr>
          <w:rFonts w:eastAsia="Calibri"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2 </w:t>
      </w:r>
      <w:r>
        <w:rPr>
          <w:rFonts w:eastAsia="Calibri"/>
          <w:lang w:eastAsia="en-US"/>
        </w:rPr>
        <w:t xml:space="preserve">- оценка в баллах по неценовому критерию №2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…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iCs/>
          <w:vertAlign w:val="subscript"/>
          <w:lang w:eastAsia="en-US"/>
        </w:rPr>
        <w:t xml:space="preserve"> </w:t>
      </w:r>
      <w:r>
        <w:rPr>
          <w:rFonts w:eastAsia="Calibri"/>
          <w:lang w:eastAsia="en-US"/>
        </w:rPr>
        <w:t xml:space="preserve">- оценка в баллах по неценовому критерию №</w:t>
      </w:r>
      <w:r>
        <w:rPr>
          <w:rFonts w:eastAsia="Calibri"/>
          <w:lang w:val="en-US" w:eastAsia="en-US"/>
        </w:rPr>
        <w:t xml:space="preserve">n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2</w:t>
      </w:r>
      <w:r>
        <w:rPr>
          <w:rFonts w:eastAsia="Arial Unicode MS"/>
        </w:rPr>
        <w:t xml:space="preserve">, … V</w:t>
      </w:r>
      <w:r>
        <w:rPr>
          <w:rFonts w:eastAsia="Arial Unicode MS"/>
          <w:vertAlign w:val="subscript"/>
          <w:lang w:val="en-US"/>
        </w:rPr>
        <w:t xml:space="preserve">on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  <w:r>
        <w:rPr>
          <w:rFonts w:eastAsia="Calibri"/>
          <w:bCs/>
          <w:i/>
          <w:lang w:eastAsia="en-US"/>
        </w:rPr>
      </w:r>
    </w:p>
    <w:p>
      <w:pPr>
        <w:pStyle w:val="1534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4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коэффициентов значимости получает Заявка, имеющая макси</w:t>
      </w:r>
      <w:r>
        <w:rPr>
          <w:rFonts w:eastAsia="Calibri"/>
          <w:lang w:eastAsia="en-US"/>
        </w:rPr>
        <w:t xml:space="preserve">мальный общий рейтинг предпочтительности Заявки (Ri).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4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</w:t>
      </w:r>
      <w:r>
        <w:rPr>
          <w:rFonts w:eastAsia="Calibri"/>
          <w:lang w:eastAsia="en-US"/>
        </w:rPr>
        <w:t xml:space="preserve">заявок по степени предпочтительности.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4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23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</w:t>
      </w:r>
      <w:r>
        <w:rPr>
          <w:rFonts w:ascii="Times New Roman" w:hAnsi="Times New Roman" w:cs="Times New Roman"/>
        </w:rPr>
        <w:t xml:space="preserve">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441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221"/>
        <w:numPr>
          <w:ilvl w:val="0"/>
          <w:numId w:val="4"/>
        </w:numPr>
        <w:ind w:left="0" w:firstLine="567"/>
        <w:pageBreakBefore/>
        <w:spacing w:before="0" w:after="0"/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6" w:name="_Toc46"/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End w:id="158"/>
      <w:r/>
      <w:bookmarkEnd w:id="159"/>
      <w:r/>
      <w:bookmarkEnd w:id="160"/>
      <w:r>
        <w:rPr>
          <w:rStyle w:val="1392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56"/>
      <w:r/>
      <w:r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222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257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r>
        <w:rPr>
          <w:color w:val="000000" w:themeColor="text1"/>
          <w:sz w:val="24"/>
          <w:szCs w:val="24"/>
        </w:rPr>
      </w:r>
      <w:bookmarkEnd w:id="257"/>
      <w:r/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</w:t>
      </w:r>
      <w:r>
        <w:rPr>
          <w:bCs/>
        </w:rPr>
        <w:t xml:space="preserve">ение работ в полном соответствии с документацией о закупке, в том числе в соответствии с требованиями разделов «ТЕХНИЧЕСКАЯ ЧАСТЬ» и «ПРОЕКТ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</w:t>
      </w:r>
      <w:r>
        <w:rPr>
          <w:color w:val="0000cc"/>
        </w:rPr>
        <w:t xml:space="preserve">е на ____ л.</w:t>
      </w:r>
      <w:r>
        <w:rPr>
          <w:color w:val="0000cc"/>
        </w:rPr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  <w:r>
        <w:rPr>
          <w:b/>
          <w:bCs/>
        </w:rPr>
      </w:r>
    </w:p>
    <w:p>
      <w:pPr>
        <w:pStyle w:val="1534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4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4"/>
        <w:numPr>
          <w:ilvl w:val="0"/>
          <w:numId w:val="79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</w:t>
      </w:r>
      <w:r>
        <w:rPr>
          <w:bCs/>
        </w:rPr>
        <w:t xml:space="preserve">работ в полном соответствии с документацией о закупке, в том числе в соответствии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</w:t>
      </w:r>
      <w:r>
        <w:rPr>
          <w:bCs/>
        </w:rPr>
        <w:t xml:space="preserve">й,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</w:t>
      </w:r>
      <w:r>
        <w:rPr>
          <w:bCs/>
        </w:rPr>
        <w:t xml:space="preserve"> 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534"/>
        <w:numPr>
          <w:ilvl w:val="0"/>
          <w:numId w:val="79"/>
        </w:numPr>
        <w:ind w:left="0" w:firstLine="709"/>
        <w:jc w:val="both"/>
      </w:pPr>
      <w:r>
        <w:t xml:space="preserve">Техническое предло</w:t>
      </w:r>
      <w:r>
        <w:t xml:space="preserve">жение на выполнение работ и поставок будет служить основой для подготовки соответствующего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</w:t>
      </w:r>
      <w:r>
        <w:t xml:space="preserve">товить так, чтобы ее можно было с минимальными изменениями включить в Договор.</w:t>
      </w:r>
      <w:r/>
    </w:p>
    <w:p>
      <w:pPr>
        <w:pStyle w:val="1534"/>
        <w:numPr>
          <w:ilvl w:val="0"/>
          <w:numId w:val="79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534"/>
        <w:numPr>
          <w:ilvl w:val="0"/>
          <w:numId w:val="79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22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8" w:name="_Toc48"/>
      <w:r>
        <w:rPr>
          <w:sz w:val="24"/>
          <w:szCs w:val="24"/>
        </w:rPr>
        <w:t xml:space="preserve">ФОРМА ПИСЬМО О ПОДАЧЕ ОФЕРТЫ</w:t>
      </w:r>
      <w:r>
        <w:rPr>
          <w:sz w:val="24"/>
          <w:szCs w:val="24"/>
        </w:rPr>
      </w:r>
      <w:bookmarkEnd w:id="258"/>
      <w:r/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</w:t>
      </w:r>
      <w:r>
        <w:rPr>
          <w:i/>
        </w:rPr>
        <w:t xml:space="preserve">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</w:t>
      </w:r>
      <w:r>
        <w:rPr>
          <w:iCs/>
        </w:rPr>
        <w:t xml:space="preserve">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Официальный сайт) от «___» __________ 202_ года (извещение №__________</w:t>
      </w:r>
      <w:r>
        <w:rPr>
          <w:iCs/>
        </w:rPr>
        <w:t xml:space="preserve">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по договору, порядка заключения договора, заключаемого по ито</w:t>
      </w:r>
      <w:r>
        <w:rPr>
          <w:iCs/>
        </w:rPr>
        <w:t xml:space="preserve">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</w:t>
      </w:r>
      <w:r>
        <w:rPr>
          <w:bCs/>
          <w:i/>
        </w:rPr>
        <w:t xml:space="preserve">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</w:t>
      </w:r>
      <w:r>
        <w:rPr>
          <w:i/>
        </w:rPr>
        <w:t xml:space="preserve">ком указывается Лидер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</w:t>
      </w:r>
      <w:r>
        <w:t xml:space="preserve">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</w:t>
      </w:r>
      <w:r>
        <w:t xml:space="preserve">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участвовать в вышеуказанной закупке на условиях, установленных документацией о закупке, регламентом ЭТП и Положением о закупке, а также выполнить работы на условиях про</w:t>
      </w:r>
      <w:r>
        <w:rPr>
          <w:iCs/>
        </w:rPr>
        <w:t xml:space="preserve">екта договора, представленного в составе документации о закупке, со всеми приложениями к нему.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</w:t>
      </w:r>
      <w:r>
        <w:rPr>
          <w:iCs/>
        </w:rPr>
        <w:t xml:space="preserve">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приостановлена, а также, что размер задолженности по налогам, сборам и иным обязательным платежам в бюджеты </w:t>
      </w:r>
      <w:r>
        <w:t xml:space="preserve">бюджетной системы Российской </w:t>
      </w:r>
      <w:r>
        <w:t xml:space="preserve">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</w:t>
      </w:r>
      <w:r>
        <w:t xml:space="preserve">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ограничения или лишения дееспособности, неснятой или непогашенной судимости за преступления в сфере экономики, а также неприменение в отно</w:t>
      </w:r>
      <w:r>
        <w:t xml:space="preserve">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</w:t>
      </w:r>
      <w:r>
        <w:t xml:space="preserve">ьными требованиями к участникам закупки подтверждаем наличие у нас специальных допусков, разрешений, лицензий и прочих 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</w:t>
      </w:r>
      <w:r>
        <w:t xml:space="preserve">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</w:t>
      </w:r>
      <w:r>
        <w:t xml:space="preserve">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недобросовестных поставщиков, предусмотренном Федеральным законом от 05.04.2013 N 44-ФЗ «О контрактной системе в сфере закупок товаров, работ, услуг для обеспе</w:t>
      </w:r>
      <w:r>
        <w:t xml:space="preserve">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</w:t>
      </w:r>
      <w:r>
        <w:rPr>
          <w:iCs/>
        </w:rPr>
        <w:t xml:space="preserve">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</w:t>
      </w:r>
      <w:r>
        <w:rPr>
          <w:iCs/>
        </w:rPr>
        <w:t xml:space="preserve">м, мы обязуемся подписать данный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</w:t>
      </w:r>
      <w:r>
        <w:t xml:space="preserve">заключением договора на условиях нашей заявки не требуется.</w:t>
      </w:r>
      <w:r>
        <w:rPr>
          <w:rStyle w:val="1424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</w:t>
      </w:r>
      <w:r>
        <w:t xml:space="preserve"> не требуется.</w:t>
      </w:r>
      <w:r>
        <w:rPr>
          <w:rStyle w:val="1424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документами, указаниями собственника,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</w:t>
      </w:r>
      <w:r>
        <w:rPr>
          <w:iCs/>
        </w:rPr>
        <w:t xml:space="preserve">ания) сделки и соблюдения всех требуемых корпоративных требований.</w:t>
      </w:r>
      <w:r>
        <w:rPr>
          <w:rStyle w:val="1424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достоверность представленной нами информации и подтверждаем право Организатора закупки (Заказчика), не противоречащее требованию о формировании равных для все</w:t>
      </w:r>
      <w:r>
        <w:t xml:space="preserve">х Участников закупки условий, запрашивать у нас, в уполномоченных органах власти и в упомянутых в нашей заявке юридических и физических лиц информацию, уточняющую представленные нами в ней сведения.</w:t>
      </w:r>
      <w:r>
        <w:rPr>
          <w:iCs/>
        </w:rPr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1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4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4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4"/>
        <w:numPr>
          <w:ilvl w:val="0"/>
          <w:numId w:val="81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4"/>
        <w:numPr>
          <w:ilvl w:val="0"/>
          <w:numId w:val="81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</w:t>
      </w:r>
      <w:r>
        <w:rPr>
          <w:b/>
        </w:rPr>
        <w:t xml:space="preserve">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222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9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r>
        <w:rPr>
          <w:sz w:val="24"/>
          <w:szCs w:val="24"/>
        </w:rPr>
      </w:r>
      <w:bookmarkEnd w:id="259"/>
      <w:r/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</w:t>
      </w:r>
      <w:r>
        <w:rPr>
          <w:b/>
        </w:rPr>
        <w:t xml:space="preserve">тника (консорциума, простого товарищества)</w:t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</w:t>
      </w:r>
      <w:r>
        <w:t xml:space="preserve">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</w:t>
      </w:r>
      <w:r>
        <w:t xml:space="preserve">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</w:t>
      </w:r>
      <w:r>
        <w:t xml:space="preserve">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5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окончание)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3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3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3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523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3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3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3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4"/>
        <w:numPr>
          <w:ilvl w:val="0"/>
          <w:numId w:val="83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4"/>
        <w:numPr>
          <w:ilvl w:val="0"/>
          <w:numId w:val="83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534"/>
        <w:numPr>
          <w:ilvl w:val="0"/>
          <w:numId w:val="83"/>
        </w:numPr>
        <w:ind w:left="0" w:firstLine="709"/>
        <w:jc w:val="both"/>
      </w:pPr>
      <w:r>
        <w:t xml:space="preserve">У</w:t>
      </w:r>
      <w:r>
        <w:t xml:space="preserve">частник закупки приводит наименования юридических лиц и адреса мест нахождения, либо фамилии,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</w:t>
      </w:r>
      <w:r>
        <w:t xml:space="preserve">ка.</w:t>
      </w:r>
      <w:r/>
    </w:p>
    <w:p>
      <w:pPr>
        <w:pStyle w:val="1534"/>
        <w:numPr>
          <w:ilvl w:val="0"/>
          <w:numId w:val="83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4"/>
        <w:numPr>
          <w:ilvl w:val="0"/>
          <w:numId w:val="83"/>
        </w:numPr>
        <w:ind w:left="0" w:firstLine="709"/>
        <w:jc w:val="both"/>
      </w:pPr>
      <w:r>
        <w:rPr>
          <w:b/>
        </w:rPr>
        <w:t xml:space="preserve">Данная форма заполняется и предоставляется в случае участия коллективных участников</w:t>
      </w:r>
      <w:r>
        <w:t xml:space="preserve">.</w:t>
      </w:r>
      <w:r/>
    </w:p>
    <w:p>
      <w:pPr>
        <w:pStyle w:val="1534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222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260" w:name="_Toc50"/>
      <w:r>
        <w:rPr>
          <w:sz w:val="24"/>
          <w:szCs w:val="24"/>
        </w:rPr>
        <w:t xml:space="preserve">ФОРМА АНКЕТА УЧАСТНИКА ЗАКУПКИ</w:t>
      </w:r>
      <w:r>
        <w:rPr>
          <w:sz w:val="24"/>
          <w:szCs w:val="24"/>
        </w:rPr>
      </w:r>
      <w:bookmarkEnd w:id="260"/>
      <w:r/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</w:t>
      </w:r>
      <w:r>
        <w:t xml:space="preserve">________________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37"/>
        <w:gridCol w:w="5869"/>
        <w:gridCol w:w="296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</w:t>
            </w:r>
            <w:r>
              <w:t xml:space="preserve">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</w:t>
            </w:r>
            <w:r>
              <w:t xml:space="preserve">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</w:t>
      </w:r>
      <w:r>
        <w:t xml:space="preserve">аны при заключении Договора.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Графа 12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</w:t>
      </w:r>
      <w:r>
        <w:t xml:space="preserve">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534"/>
        <w:numPr>
          <w:ilvl w:val="0"/>
          <w:numId w:val="84"/>
        </w:numPr>
        <w:ind w:left="0" w:firstLine="709"/>
        <w:jc w:val="both"/>
      </w:pPr>
      <w:r>
        <w:rPr>
          <w:b/>
        </w:rPr>
        <w:t xml:space="preserve">Участник закупки должен</w:t>
      </w:r>
      <w:r>
        <w:rPr>
          <w:b/>
        </w:rPr>
        <w:t xml:space="preserve">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</w:t>
      </w:r>
      <w:r>
        <w:rPr>
          <w:sz w:val="21"/>
          <w:szCs w:val="21"/>
        </w:rPr>
        <w:t xml:space="preserve">енные не только российским, но и зарубежным антикоррупционным законодательством, в соответствии с </w:t>
      </w:r>
      <w:hyperlink r:id="rId52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3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4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</w:t>
      </w:r>
      <w:r>
        <w:rPr>
          <w:sz w:val="21"/>
          <w:szCs w:val="21"/>
        </w:rPr>
        <w:t xml:space="preserve">диненных Наций против коррупции»).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</w:t>
      </w:r>
      <w:r>
        <w:rPr>
          <w:rFonts w:eastAsia="Calibri"/>
          <w:sz w:val="21"/>
          <w:szCs w:val="21"/>
          <w:lang w:eastAsia="en-US"/>
        </w:rPr>
        <w:t xml:space="preserve"> должностных лиц.</w:t>
      </w:r>
      <w:r>
        <w:rPr>
          <w:rFonts w:eastAsia="Calibri"/>
          <w:sz w:val="21"/>
          <w:szCs w:val="21"/>
          <w:lang w:eastAsia="en-US"/>
        </w:rPr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</w:t>
      </w:r>
      <w:r>
        <w:rPr>
          <w:sz w:val="21"/>
          <w:szCs w:val="21"/>
        </w:rPr>
        <w:t xml:space="preserve">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</w:t>
      </w:r>
      <w:r>
        <w:rPr>
          <w:sz w:val="21"/>
          <w:szCs w:val="21"/>
        </w:rPr>
        <w:t xml:space="preserve">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</w:t>
      </w:r>
      <w:r>
        <w:rPr>
          <w:sz w:val="21"/>
          <w:szCs w:val="21"/>
        </w:rPr>
        <w:t xml:space="preserve">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зависимости от его гражданства, на которого возложено или было возложен</w:t>
      </w:r>
      <w:r>
        <w:rPr>
          <w:sz w:val="21"/>
          <w:szCs w:val="21"/>
        </w:rPr>
        <w:t xml:space="preserve">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</w:t>
      </w:r>
      <w:r>
        <w:rPr>
          <w:sz w:val="21"/>
          <w:szCs w:val="21"/>
        </w:rPr>
        <w:t xml:space="preserve">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</w:t>
      </w:r>
      <w:r>
        <w:rPr>
          <w:sz w:val="21"/>
          <w:szCs w:val="21"/>
        </w:rPr>
        <w:t xml:space="preserve">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</w:t>
      </w:r>
      <w:r>
        <w:rPr>
          <w:sz w:val="21"/>
          <w:szCs w:val="21"/>
        </w:rPr>
        <w:t xml:space="preserve">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</w:t>
      </w:r>
      <w:r>
        <w:rPr>
          <w:sz w:val="21"/>
          <w:szCs w:val="21"/>
        </w:rPr>
        <w:t xml:space="preserve">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</w:t>
      </w:r>
      <w:r>
        <w:rPr>
          <w:sz w:val="21"/>
          <w:szCs w:val="21"/>
        </w:rPr>
        <w:t xml:space="preserve">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</w:t>
      </w:r>
      <w:r>
        <w:rPr>
          <w:sz w:val="21"/>
          <w:szCs w:val="21"/>
        </w:rPr>
        <w:t xml:space="preserve">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физические лица, находящиеся или принимаемые на обслуживани</w:t>
      </w:r>
      <w:r>
        <w:rPr>
          <w:sz w:val="21"/>
          <w:szCs w:val="21"/>
        </w:rPr>
        <w:t xml:space="preserve">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</w:t>
      </w:r>
      <w:r>
        <w:rPr>
          <w:sz w:val="21"/>
          <w:szCs w:val="21"/>
        </w:rPr>
        <w:t xml:space="preserve">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</w:t>
      </w:r>
      <w:r>
        <w:rPr>
          <w:sz w:val="21"/>
          <w:szCs w:val="21"/>
        </w:rPr>
        <w:t xml:space="preserve">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</w:t>
      </w:r>
      <w:r>
        <w:rPr>
          <w:sz w:val="21"/>
          <w:szCs w:val="21"/>
        </w:rPr>
        <w:t xml:space="preserve">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</w:t>
      </w:r>
      <w:r>
        <w:rPr>
          <w:sz w:val="21"/>
          <w:szCs w:val="21"/>
        </w:rPr>
        <w:t xml:space="preserve">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</w:t>
      </w:r>
      <w:r>
        <w:rPr>
          <w:sz w:val="21"/>
          <w:szCs w:val="21"/>
        </w:rPr>
        <w:t xml:space="preserve">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</w:t>
      </w:r>
      <w:r>
        <w:rPr>
          <w:sz w:val="21"/>
          <w:szCs w:val="21"/>
        </w:rPr>
        <w:t xml:space="preserve">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</w:t>
      </w:r>
      <w:r>
        <w:rPr>
          <w:sz w:val="21"/>
          <w:szCs w:val="21"/>
        </w:rPr>
        <w:t xml:space="preserve">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</w:t>
      </w:r>
      <w:r>
        <w:rPr>
          <w:sz w:val="21"/>
          <w:szCs w:val="21"/>
        </w:rPr>
        <w:t xml:space="preserve">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</w:t>
      </w:r>
      <w:r>
        <w:rPr>
          <w:sz w:val="21"/>
          <w:szCs w:val="21"/>
        </w:rPr>
        <w:t xml:space="preserve">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</w:t>
      </w:r>
      <w:r>
        <w:rPr>
          <w:sz w:val="21"/>
          <w:szCs w:val="21"/>
        </w:rPr>
        <w:t xml:space="preserve">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</w:t>
      </w:r>
      <w:r>
        <w:rPr>
          <w:sz w:val="21"/>
          <w:szCs w:val="21"/>
        </w:rPr>
        <w:t xml:space="preserve">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</w:t>
      </w:r>
      <w:r>
        <w:rPr>
          <w:sz w:val="21"/>
          <w:szCs w:val="21"/>
        </w:rPr>
        <w:t xml:space="preserve">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</w:t>
      </w:r>
      <w:r>
        <w:rPr>
          <w:sz w:val="21"/>
          <w:szCs w:val="21"/>
        </w:rPr>
        <w:t xml:space="preserve">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</w:t>
      </w:r>
      <w:r>
        <w:rPr>
          <w:sz w:val="21"/>
          <w:szCs w:val="21"/>
        </w:rPr>
        <w:t xml:space="preserve">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</w:t>
      </w:r>
      <w:r>
        <w:rPr>
          <w:sz w:val="21"/>
          <w:szCs w:val="21"/>
        </w:rPr>
        <w:t xml:space="preserve">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</w:t>
      </w:r>
      <w:r>
        <w:rPr>
          <w:sz w:val="21"/>
          <w:szCs w:val="21"/>
        </w:rPr>
        <w:t xml:space="preserve"> значительную материальную выгоду ввиду отношений с ПДЛ.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</w:t>
      </w:r>
      <w:r>
        <w:rPr>
          <w:sz w:val="21"/>
          <w:szCs w:val="21"/>
        </w:rPr>
        <w:t xml:space="preserve">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</w:t>
      </w:r>
      <w:r>
        <w:rPr>
          <w:sz w:val="21"/>
          <w:szCs w:val="21"/>
        </w:rPr>
        <w:t xml:space="preserve">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</w:t>
      </w:r>
      <w:r>
        <w:rPr>
          <w:sz w:val="21"/>
          <w:szCs w:val="21"/>
        </w:rPr>
        <w:t xml:space="preserve">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22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1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r>
        <w:rPr>
          <w:sz w:val="24"/>
          <w:szCs w:val="24"/>
        </w:rPr>
      </w:r>
      <w:bookmarkEnd w:id="261"/>
      <w:r/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</w:t>
      </w:r>
      <w:r>
        <w:rPr>
          <w:b/>
        </w:rPr>
        <w:t xml:space="preserve">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</w:t>
      </w:r>
      <w:r>
        <w:t xml:space="preserve">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</w:t>
      </w:r>
      <w:r>
        <w:rPr>
          <w:bCs/>
        </w:rPr>
        <w:t xml:space="preserve">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</w:t>
      </w:r>
      <w:r>
        <w:rPr>
          <w:b/>
          <w:i/>
          <w:iCs/>
        </w:rPr>
        <w:t xml:space="preserve">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</w:t>
      </w:r>
      <w:r>
        <w:rPr>
          <w:b/>
          <w:bCs/>
          <w:i/>
        </w:rPr>
        <w:t xml:space="preserve">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5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</w:t>
      </w:r>
      <w:r>
        <w:t xml:space="preserve">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просим учесть, что у {указывается наименование Уча</w:t>
      </w:r>
      <w:r>
        <w:t xml:space="preserve">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При наличии документов, подтверждающих или указывающих на факты возможного возникновения ко</w:t>
      </w:r>
      <w:r>
        <w:t xml:space="preserve">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</w:t>
      </w:r>
      <w:r>
        <w:rPr>
          <w:b/>
        </w:rPr>
        <w:t xml:space="preserve">мате</w:t>
      </w:r>
      <w:r>
        <w:t xml:space="preserve">.</w:t>
      </w:r>
      <w:r/>
    </w:p>
    <w:p>
      <w:pPr>
        <w:numPr>
          <w:ilvl w:val="0"/>
          <w:numId w:val="85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22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2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r>
        <w:rPr>
          <w:sz w:val="24"/>
          <w:szCs w:val="24"/>
        </w:rPr>
      </w:r>
      <w:bookmarkEnd w:id="262"/>
      <w:r/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</w:t>
      </w:r>
      <w:r>
        <w:t xml:space="preserve">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лица, то в зав</w:t>
      </w:r>
      <w:r>
        <w:t xml:space="preserve">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 В отношении</w:t>
      </w:r>
      <w:r>
        <w:t xml:space="preserve">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</w:t>
      </w:r>
      <w:r>
        <w:t xml:space="preserve">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</w:t>
      </w:r>
      <w:r>
        <w:t xml:space="preserve"> информации о количестве таких акционеров.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 краткое» (№4) -</w:t>
      </w:r>
      <w:r>
        <w:t xml:space="preserve">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</w:t>
      </w:r>
      <w:r>
        <w:t xml:space="preserve">ел «Код ОКВЭД» (№5) - указывается код (основные коды) ОКВЭД.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</w:t>
      </w:r>
      <w:r>
        <w:t xml:space="preserve">ате: ХХХХХХХХХХ (10 знаков), то есть без слов «серия», «номер» и т.п.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</w:t>
      </w:r>
      <w:r>
        <w:t xml:space="preserve">конечного бенефициарного собственника (пример 1.1.3.1).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</w:t>
      </w:r>
      <w:r>
        <w:t xml:space="preserve">и наличие и состав собственников (выпиской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</w:t>
      </w:r>
      <w:r>
        <w:t xml:space="preserve">и т.п.); для физических лиц - фамилия, имя и отчество (указываются полностью).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</w:t>
      </w:r>
      <w:r>
        <w:t xml:space="preserve">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</w:t>
      </w:r>
      <w:r>
        <w:t xml:space="preserve">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</w:t>
      </w:r>
      <w:r>
        <w:t xml:space="preserve">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  <w:r>
        <w:rPr>
          <w:b/>
        </w:rPr>
      </w:r>
    </w:p>
    <w:p>
      <w:pPr>
        <w:pStyle w:val="1534"/>
        <w:numPr>
          <w:ilvl w:val="0"/>
          <w:numId w:val="86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вносились данн</w:t>
      </w:r>
      <w:r>
        <w:t xml:space="preserve">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</w:t>
      </w:r>
      <w:r>
        <w:t xml:space="preserve">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534"/>
        <w:numPr>
          <w:ilvl w:val="0"/>
          <w:numId w:val="86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</w:t>
      </w:r>
      <w:r>
        <w:rPr>
          <w:b/>
        </w:rPr>
        <w:t xml:space="preserve">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</w:t>
            </w:r>
            <w:r>
              <w:rPr>
                <w:color w:val="000000"/>
                <w:sz w:val="14"/>
                <w:szCs w:val="16"/>
              </w:rPr>
              <w:t xml:space="preserve">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5">
                          <a:extLst>
                            <a:ext uri="{96DAC541-7B7A-43D3-8B79-37D633B846F1}">
                              <asvg:svgBlip xmlns:asvg="http://schemas.microsoft.com/office/drawing/2016/SVG/main" r:embed="rId5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5" o:title=""/>
              </v:shape>
            </w:pict>
          </mc:Fallback>
        </mc:AlternateConten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426"/>
        <w:jc w:val="center"/>
      </w:pPr>
      <w:r/>
      <w:r/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222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3" w:name="_Toc53"/>
      <w:r>
        <w:rPr>
          <w:sz w:val="24"/>
          <w:szCs w:val="24"/>
        </w:rPr>
        <w:t xml:space="preserve">ФОРМА СОГЛАСИЕ НА ОБРАБОТКУ ПЕРСОНАЛЬНЫХ ДАННЫХ</w:t>
      </w:r>
      <w:r>
        <w:rPr>
          <w:sz w:val="24"/>
          <w:szCs w:val="24"/>
        </w:rPr>
      </w:r>
      <w:bookmarkEnd w:id="263"/>
      <w:r/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</w:t>
      </w:r>
      <w:r>
        <w:rPr>
          <w:b/>
        </w:rPr>
        <w:t xml:space="preserve">_____ 20 ____ г.</w:t>
      </w:r>
      <w:r>
        <w:rPr>
          <w:b/>
        </w:rPr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</w:t>
      </w:r>
      <w:r>
        <w:t xml:space="preserve">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</w:t>
      </w:r>
      <w:r>
        <w:rPr>
          <w:b/>
          <w:i/>
        </w:rPr>
        <w:t xml:space="preserve">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</w:t>
      </w:r>
      <w:r>
        <w:t xml:space="preserve">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</w:t>
      </w:r>
      <w:r>
        <w:t xml:space="preserve">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</w:t>
      </w:r>
      <w:r>
        <w:t xml:space="preserve">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</w:t>
      </w:r>
      <w:r>
        <w:t xml:space="preserve">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</w:t>
      </w:r>
      <w:r>
        <w:t xml:space="preserve">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</w:t>
      </w:r>
      <w:r>
        <w:t xml:space="preserve">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</w:t>
      </w:r>
      <w:r>
        <w:t xml:space="preserve">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</w:t>
      </w:r>
      <w:r>
        <w:t xml:space="preserve">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</w:t>
            </w:r>
            <w:r>
              <w:rPr>
                <w:bCs/>
                <w:sz w:val="20"/>
                <w:szCs w:val="20"/>
              </w:rPr>
              <w:t xml:space="preserve">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7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закупки, являющийся юридическим лицом, должен указать</w:t>
      </w:r>
      <w:r>
        <w:t xml:space="preserve">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</w:t>
      </w:r>
      <w:r>
        <w:t xml:space="preserve">прописки (индивидуальный предприниматель – адрес регистрации).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</w:t>
      </w:r>
      <w:r>
        <w:t xml:space="preserve">ть) свои персональные данные. Дополнительное перечисление собственников/бенефициаров в данной форме не обязательно.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</w:t>
      </w:r>
      <w:r>
        <w:t xml:space="preserve">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</w:t>
      </w:r>
      <w:r>
        <w:t xml:space="preserve">мя, отчество; серия и номер документа, удостоверяющего личность; ИНН (участников, учредителей, акционеров, руководителей).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</w:t>
      </w:r>
      <w:r>
        <w:t xml:space="preserve">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</w:t>
      </w:r>
      <w:r>
        <w:t xml:space="preserve">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>
        <w:t xml:space="preserve"> своего субконтрагента, и предполагает, что участник закупки (потенциальный контрагент) / контрагент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</w:t>
      </w:r>
      <w:r>
        <w:t xml:space="preserve">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222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4" w:name="_Toc54"/>
      <w:r>
        <w:rPr>
          <w:sz w:val="24"/>
          <w:szCs w:val="24"/>
        </w:rPr>
        <w:t xml:space="preserve">ФОРМА АНТИКОРРУПЦИОННЫЕ ОБЯЗАТЕЛЬСТВА</w:t>
      </w:r>
      <w:r>
        <w:rPr>
          <w:sz w:val="24"/>
          <w:szCs w:val="24"/>
        </w:rPr>
      </w:r>
      <w:bookmarkEnd w:id="264"/>
      <w:r/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</w:t>
      </w:r>
      <w:r>
        <w:t xml:space="preserve">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</w:t>
      </w:r>
      <w:r>
        <w:t xml:space="preserve">оррупции.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</w:t>
      </w:r>
      <w:r>
        <w:t xml:space="preserve">упочных процедур) для нужд АО «Россети Янтарь»,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</w:t>
      </w:r>
      <w:r>
        <w:t xml:space="preserve"> Антикоррупционной политикой ПАО «Россети» и его ДЗО, представленными в разделе «Антикоррупционная политика» на официальном сайте АО «Россети Янтарь») по адресу в сети Интернет </w:t>
      </w:r>
      <w:hyperlink r:id="rId57" w:tooltip="https://rosseti-yantar.ru/about/antikorruptsionnaya-politika/" w:history="1">
        <w:r>
          <w:rPr>
            <w:rStyle w:val="1441"/>
          </w:rPr>
          <w:t xml:space="preserve">https://rosseti-yantar.ru/about/antikorruptsionnaya-politika/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92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направленными на предупреждение и пр</w:t>
      </w:r>
      <w:r>
        <w:t xml:space="preserve">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</w:t>
      </w:r>
      <w:r>
        <w:t xml:space="preserve">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</w:t>
      </w:r>
      <w:r>
        <w:t xml:space="preserve">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</w:t>
      </w:r>
      <w:r>
        <w:t xml:space="preserve">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</w:t>
      </w:r>
      <w:r>
        <w:t xml:space="preserve">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</w:t>
      </w:r>
      <w:r>
        <w:t xml:space="preserve">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</w:t>
      </w:r>
      <w:r>
        <w:t xml:space="preserve">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непредставл</w:t>
      </w:r>
      <w:r>
        <w:t xml:space="preserve">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</w:t>
      </w:r>
      <w:r>
        <w:t xml:space="preserve">ие освободить от исполнения обязательства или обязанности;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</w:t>
      </w:r>
      <w:r>
        <w:t xml:space="preserve">ставление, предложение или обещание предоставить иные выгоды; 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</w:t>
      </w:r>
      <w:r>
        <w:t xml:space="preserve">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</w:t>
      </w:r>
      <w:r>
        <w:t xml:space="preserve">нных преимуществ по сравнению с другими участниками закупочных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</w:t>
      </w:r>
      <w:r>
        <w:t xml:space="preserve">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</w:t>
      </w:r>
      <w:r>
        <w:t xml:space="preserve">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</w:t>
      </w:r>
      <w:r>
        <w:t xml:space="preserve">результатах в адрес Участника.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 дочерних зависимых обществах и их филиалах можно сообщить, заполнив </w:t>
      </w:r>
      <w:hyperlink r:id="rId58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</w:t>
        </w:r>
        <w:r>
          <w:rPr>
            <w:rFonts w:eastAsia="Calibri"/>
            <w:bCs/>
            <w:i/>
            <w:u w:val="single"/>
            <w:shd w:val="clear" w:color="auto" w:fill="ffffff"/>
          </w:rPr>
          <w:t xml:space="preserve">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rFonts w:eastAsia="Calibri"/>
          <w:bCs/>
          <w:i/>
          <w:iCs/>
          <w:shd w:val="clear" w:color="auto" w:fill="ffffff"/>
        </w:r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  <w:br w:type="page" w:clear="all"/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pStyle w:val="1222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2"/>
        <w:rPr>
          <w:highlight w:val="none"/>
        </w:rPr>
      </w:pPr>
      <w:r/>
      <w:bookmarkStart w:id="265" w:name="_Toc55"/>
      <w:r>
        <w:rPr>
          <w:highlight w:val="none"/>
        </w:rPr>
      </w:r>
      <w:bookmarkStart w:id="179" w:name="_ФОРМА_СПРА_8"/>
      <w:r>
        <w:rPr>
          <w:highlight w:val="none"/>
        </w:rPr>
      </w:r>
      <w:bookmarkStart w:id="180" w:name="_ФОРМА_СПРА_7"/>
      <w:r>
        <w:rPr>
          <w:highlight w:val="none"/>
        </w:rPr>
      </w:r>
      <w:bookmarkStart w:id="181" w:name="_ФОРМА_СПРА_6"/>
      <w:r>
        <w:rPr>
          <w:highlight w:val="none"/>
        </w:rPr>
      </w:r>
      <w:bookmarkStart w:id="182" w:name="_ФОРМА_СПРА_5"/>
      <w:r>
        <w:rPr>
          <w:highlight w:val="none"/>
        </w:rPr>
      </w:r>
      <w:bookmarkStart w:id="183" w:name="_ФОРМА_СПРА_2"/>
      <w:r>
        <w:rPr>
          <w:highlight w:val="none"/>
        </w:rPr>
      </w:r>
      <w:bookmarkEnd w:id="179"/>
      <w:r>
        <w:rPr>
          <w:highlight w:val="none"/>
        </w:rPr>
      </w:r>
      <w:bookmarkEnd w:id="180"/>
      <w:r>
        <w:rPr>
          <w:highlight w:val="none"/>
        </w:rPr>
      </w:r>
      <w:bookmarkEnd w:id="181"/>
      <w:r>
        <w:rPr>
          <w:highlight w:val="none"/>
        </w:rPr>
      </w:r>
      <w:bookmarkEnd w:id="182"/>
      <w:r>
        <w:rPr>
          <w:highlight w:val="none"/>
        </w:rPr>
      </w:r>
      <w:bookmarkEnd w:id="183"/>
      <w:r>
        <w:rPr>
          <w:sz w:val="24"/>
          <w:szCs w:val="24"/>
          <w:highlight w:val="none"/>
        </w:rPr>
        <w:t xml:space="preserve">ФОРМА СПРАВКА О ПЕРЕЧНЕ И ОБЪЕМАХ ВЫПОЛНЕНИЯ АНАЛОГИЧНЫХ ДОГОВОРОВ</w:t>
      </w:r>
      <w:r>
        <w:rPr>
          <w:highlight w:val="none"/>
        </w:rPr>
      </w:r>
      <w:bookmarkEnd w:id="265"/>
      <w:r/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Справка о перечне и объемах выполнения аналогичных договоров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закупки _______________________________________________________________________________ Лот № 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Номер изве</w:t>
      </w:r>
      <w:r>
        <w:rPr>
          <w:highlight w:val="none"/>
        </w:rPr>
        <w:t xml:space="preserve">щения о проведении закупки в ЕИС: 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участника закупки: _____________________________________________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Юридический адрес (место нахождения) участника закупки: 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21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1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п/п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 и дата договора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Сроки</w:t>
            </w:r>
            <w:r>
              <w:rPr>
                <w:sz w:val="20"/>
                <w:szCs w:val="20"/>
                <w:highlight w:val="none"/>
              </w:rPr>
              <w:t xml:space="preserve">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Заказчик по договору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pStyle w:val="1521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21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1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(без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21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1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(с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21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1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none"/>
              </w:rPr>
            </w:pPr>
            <w:r>
              <w:rPr>
                <w:i/>
                <w:sz w:val="20"/>
                <w:szCs w:val="20"/>
                <w:highlight w:val="non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none"/>
              </w:rPr>
            </w:r>
            <w:r>
              <w:rPr>
                <w:i/>
                <w:sz w:val="20"/>
                <w:szCs w:val="20"/>
                <w:highlight w:val="none"/>
              </w:rPr>
            </w:r>
          </w:p>
          <w:p>
            <w:pPr>
              <w:pStyle w:val="1521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</w:t>
            </w:r>
            <w:r>
              <w:rPr>
                <w:sz w:val="20"/>
                <w:szCs w:val="20"/>
                <w:highlight w:val="none"/>
              </w:rPr>
              <w:t xml:space="preserve">руб. без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3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5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21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6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7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21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8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21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21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1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21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521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…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ВСЕГО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3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3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b/>
          <w:bCs/>
          <w:highlight w:val="none"/>
        </w:rPr>
        <w:t xml:space="preserve">м.п.</w:t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b/>
          <w:highlight w:val="none"/>
        </w:rPr>
      </w:pPr>
      <w:r>
        <w:rPr>
          <w:b/>
          <w:highlight w:val="none"/>
        </w:rPr>
        <w:t xml:space="preserve">Инструкции по заполнению: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none"/>
        </w:rPr>
      </w:r>
      <w:r>
        <w:rPr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highlight w:val="none"/>
        </w:rPr>
      </w:r>
      <w:r>
        <w:rPr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</w:t>
      </w:r>
      <w:r>
        <w:rPr>
          <w:highlight w:val="none"/>
        </w:rP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этой форме Участник закупки ук</w:t>
      </w:r>
      <w:r>
        <w:rPr>
          <w:highlight w:val="none"/>
        </w:rPr>
        <w:t xml:space="preserve">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фактически выполненные по договорам объемы раб</w:t>
      </w:r>
      <w:r>
        <w:rPr>
          <w:highlight w:val="none"/>
        </w:rPr>
        <w:t xml:space="preserve">от.</w:t>
      </w:r>
      <w:r>
        <w:rPr>
          <w:highlight w:val="none"/>
        </w:rPr>
      </w:r>
      <w:r>
        <w:rPr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</w:r>
      <w:r>
        <w:rPr>
          <w:highlight w:val="none"/>
        </w:rPr>
      </w:r>
      <w:r>
        <w:rPr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случае е</w:t>
      </w:r>
      <w:r>
        <w:rPr>
          <w:highlight w:val="none"/>
        </w:rPr>
        <w:t xml:space="preserve">сли Участник указывает в настоящей справке сведения о договоре, включающем в себя как объем аналогичных работ, так и объем работ, не являющихся аналогичными в соответствии с требованиями, указанными в документации о закупке, в таком случае Участник должен </w:t>
      </w:r>
      <w:r>
        <w:rPr>
          <w:highlight w:val="none"/>
        </w:rPr>
        <w:t xml:space="preserve">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none"/>
        </w:rPr>
      </w:r>
      <w:r>
        <w:rPr>
          <w:highlight w:val="none"/>
        </w:rPr>
      </w:r>
    </w:p>
    <w:p>
      <w:pPr>
        <w:pStyle w:val="1534"/>
        <w:numPr>
          <w:ilvl w:val="0"/>
          <w:numId w:val="47"/>
        </w:numPr>
        <w:ind w:left="0" w:firstLine="709"/>
        <w:jc w:val="both"/>
        <w:rPr>
          <w:highlight w:val="none"/>
        </w:rPr>
      </w:pPr>
      <w:r>
        <w:rPr>
          <w:b/>
          <w:highlight w:val="non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160" w:line="259" w:lineRule="auto"/>
        <w:rPr>
          <w:b/>
          <w:highlight w:val="none"/>
        </w:rPr>
      </w:pPr>
      <w:r>
        <w:rPr>
          <w:highlight w:val="none"/>
        </w:rPr>
      </w:r>
      <w:bookmarkStart w:id="186" w:name="_ФОРМА_Справка_о_4"/>
      <w:r>
        <w:rPr>
          <w:highlight w:val="none"/>
        </w:rPr>
      </w:r>
      <w:bookmarkEnd w:id="186"/>
      <w:r>
        <w:rPr>
          <w:b/>
          <w:highlight w:val="none"/>
        </w:rPr>
      </w:r>
      <w:r>
        <w:rPr>
          <w:b/>
          <w:highlight w:val="none"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hd w:val="nil" w:color="auto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22"/>
        <w:rPr>
          <w:rFonts w:eastAsiaTheme="majorEastAsia"/>
          <w:sz w:val="24"/>
          <w:szCs w:val="24"/>
          <w:highlight w:val="none"/>
        </w:rPr>
      </w:pPr>
      <w:r/>
      <w:bookmarkStart w:id="266" w:name="_Toc56"/>
      <w:r>
        <w:rPr>
          <w:highlight w:val="none"/>
        </w:rPr>
      </w:r>
      <w:bookmarkStart w:id="195" w:name="_ФОРМА_Комм"/>
      <w:r>
        <w:rPr>
          <w:highlight w:val="none"/>
        </w:rPr>
      </w:r>
      <w:bookmarkStart w:id="196" w:name="_ФОРМА_Коммерческое_предложение"/>
      <w:r>
        <w:rPr>
          <w:highlight w:val="none"/>
        </w:rPr>
      </w:r>
      <w:bookmarkEnd w:id="195"/>
      <w:r>
        <w:rPr>
          <w:highlight w:val="none"/>
        </w:rPr>
      </w:r>
      <w:bookmarkEnd w:id="196"/>
      <w:r>
        <w:rPr>
          <w:sz w:val="24"/>
          <w:szCs w:val="24"/>
          <w:highlight w:val="none"/>
        </w:rPr>
        <w:t xml:space="preserve">ФОРМА КОММЕРЧЕСКОЕ П</w:t>
      </w:r>
      <w:r>
        <w:rPr>
          <w:sz w:val="24"/>
          <w:szCs w:val="24"/>
          <w:highlight w:val="none"/>
        </w:rPr>
        <w:t xml:space="preserve">РЕДЛОЖЕНИЕ</w:t>
      </w:r>
      <w:r>
        <w:rPr>
          <w:rFonts w:eastAsiaTheme="majorEastAsia"/>
          <w:sz w:val="24"/>
          <w:szCs w:val="24"/>
          <w:highlight w:val="none"/>
        </w:rPr>
      </w:r>
      <w:bookmarkEnd w:id="266"/>
      <w:r/>
      <w:r>
        <w:rPr>
          <w:rFonts w:eastAsiaTheme="majorEastAsia"/>
          <w:sz w:val="24"/>
          <w:szCs w:val="24"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  <w:t xml:space="preserve">(представляется в составе ценового предложения)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rPr>
          <w:b/>
        </w:rPr>
      </w:pPr>
      <w:r>
        <w:rPr>
          <w:highlight w:val="none"/>
        </w:rPr>
        <w:t xml:space="preserve">Форма коммерческого предложения участника закупки представлена в Приложении № 5 к настоящей документации о закупке</w:t>
      </w:r>
      <w:r>
        <w:rPr>
          <w:highlight w:val="none"/>
        </w:rP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221"/>
        <w:numPr>
          <w:ilvl w:val="0"/>
          <w:numId w:val="4"/>
        </w:numPr>
        <w:ind w:left="0" w:firstLine="567"/>
        <w:pageBreakBefore/>
        <w:spacing w:before="0" w:after="0"/>
        <w:rPr>
          <w:rStyle w:val="1392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267" w:name="_Toc57"/>
      <w:r/>
      <w:bookmarkStart w:id="198" w:name="_IV._ПРОЕКТ"/>
      <w:r/>
      <w:bookmarkStart w:id="199" w:name="_ФОРМА_15._Справка"/>
      <w:r/>
      <w:bookmarkStart w:id="200" w:name="_ФОРМА__Справка"/>
      <w:r/>
      <w:bookmarkStart w:id="201" w:name="_ПРОЕКТ_ДОГОВОРА"/>
      <w:r/>
      <w:bookmarkEnd w:id="198"/>
      <w:r/>
      <w:bookmarkEnd w:id="199"/>
      <w:r/>
      <w:bookmarkEnd w:id="200"/>
      <w:r/>
      <w:bookmarkEnd w:id="201"/>
      <w:r>
        <w:rPr>
          <w:rStyle w:val="1392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r>
        <w:rPr>
          <w:rStyle w:val="1392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bookmarkEnd w:id="267"/>
      <w:r/>
      <w:r>
        <w:rPr>
          <w:rStyle w:val="1392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представлен в виде отдельного ф</w:t>
      </w:r>
      <w:r>
        <w:rPr>
          <w:bCs/>
        </w:rPr>
        <w:t xml:space="preserve">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392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21"/>
        <w:numPr>
          <w:ilvl w:val="0"/>
          <w:numId w:val="4"/>
        </w:numPr>
        <w:ind w:left="0" w:firstLine="567"/>
        <w:spacing w:before="0" w:after="0"/>
        <w:rPr>
          <w:rStyle w:val="1392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268" w:name="_Toc58"/>
      <w:r/>
      <w:bookmarkStart w:id="203" w:name="_V._ТЕХНИЧЕ"/>
      <w:r/>
      <w:bookmarkStart w:id="204" w:name="_ТЕХНИЧЕСКАЯ_ЧАСТЬ"/>
      <w:r/>
      <w:bookmarkEnd w:id="203"/>
      <w:r/>
      <w:bookmarkEnd w:id="204"/>
      <w:r>
        <w:rPr>
          <w:rStyle w:val="1392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r>
        <w:rPr>
          <w:rStyle w:val="1392"/>
          <w:rFonts w:ascii="Times New Roman" w:hAnsi="Times New Roman" w:cs="Times New Roman"/>
          <w:b w:val="0"/>
          <w:color w:val="auto"/>
          <w:sz w:val="28"/>
          <w:szCs w:val="28"/>
        </w:rPr>
      </w:r>
      <w:bookmarkEnd w:id="268"/>
      <w:r/>
      <w:r>
        <w:rPr>
          <w:rStyle w:val="1392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392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392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392"/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Style w:val="1392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221"/>
        <w:numPr>
          <w:ilvl w:val="0"/>
          <w:numId w:val="4"/>
        </w:numPr>
        <w:ind w:left="0" w:firstLine="567"/>
        <w:spacing w:before="0" w:after="0"/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69" w:name="_Toc59"/>
      <w:r/>
      <w:bookmarkStart w:id="206" w:name="_ОБОСНОВАНИЕ_НМЦ"/>
      <w:r/>
      <w:bookmarkEnd w:id="206"/>
      <w:r>
        <w:rPr>
          <w:rStyle w:val="1392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r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269"/>
      <w:r/>
      <w:r>
        <w:rPr>
          <w:rStyle w:val="1392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21"/>
        <w:numPr>
          <w:ilvl w:val="0"/>
          <w:numId w:val="4"/>
        </w:numPr>
        <w:ind w:left="0" w:firstLine="567"/>
        <w:spacing w:before="0" w:after="0"/>
      </w:pPr>
      <w:r/>
      <w:bookmarkStart w:id="270" w:name="_Toc60"/>
      <w:r/>
      <w:bookmarkStart w:id="208" w:name="_VII._ТИПОВ"/>
      <w:r/>
      <w:bookmarkStart w:id="209" w:name="_Типовые_формы_независимых"/>
      <w:r/>
      <w:bookmarkStart w:id="210" w:name="_Hlk121332483"/>
      <w:r/>
      <w:bookmarkEnd w:id="208"/>
      <w:r/>
      <w:bookmarkEnd w:id="20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10"/>
      <w:r/>
      <w:bookmarkEnd w:id="270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___</w:t>
      </w:r>
      <w:r>
        <w:rPr>
          <w:b/>
          <w:bCs/>
        </w:rPr>
        <w:t xml:space="preserve">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</w:t>
      </w:r>
      <w:r>
        <w:t xml:space="preserve">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</w:t>
      </w:r>
      <w:r>
        <w:t xml:space="preserve">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424"/>
        </w:rPr>
        <w:footnoteReference w:id="25"/>
      </w:r>
      <w:r>
        <w:rPr>
          <w:rStyle w:val="1424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</w:t>
      </w:r>
      <w:r>
        <w:t xml:space="preserve">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534"/>
        <w:numPr>
          <w:ilvl w:val="0"/>
          <w:numId w:val="93"/>
        </w:numPr>
        <w:ind w:left="0" w:firstLine="709"/>
        <w:jc w:val="both"/>
      </w:pPr>
      <w:r>
        <w:t xml:space="preserve"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</w:t>
      </w:r>
      <w:r>
        <w:t xml:space="preserve">ования обеспечения исполнения договора и срок его предоставления до заключения договора);</w:t>
      </w:r>
      <w:r/>
    </w:p>
    <w:p>
      <w:pPr>
        <w:pStyle w:val="1534"/>
        <w:numPr>
          <w:ilvl w:val="0"/>
          <w:numId w:val="93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</w:t>
      </w:r>
      <w:r>
        <w:t xml:space="preserve">ия на определенную в настоящей независимой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</w:t>
      </w:r>
      <w:r>
        <w:rPr>
          <w:rFonts w:eastAsia="Arial Unicode MS"/>
          <w:color w:val="000000"/>
        </w:rPr>
        <w:t xml:space="preserve">арант несет ответственность, предусмотренную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</w:t>
      </w:r>
      <w:r>
        <w:t xml:space="preserve">но </w:t>
      </w:r>
      <w:r>
        <w:rPr>
          <w:bCs/>
        </w:rPr>
        <w:t xml:space="preserve">Гаранту до 24 часов 00 минут 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</w:t>
      </w:r>
      <w:r>
        <w:rPr>
          <w:bCs/>
        </w:rPr>
        <w:t xml:space="preserve">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</w:t>
      </w:r>
      <w:r>
        <w:rPr>
          <w:bCs/>
        </w:rPr>
        <w:t xml:space="preserve">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</w:t>
      </w:r>
      <w:r>
        <w:rPr>
          <w:bCs/>
        </w:rPr>
        <w:t xml:space="preserve"> не может быть отозвана Гарантом.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</w:t>
      </w:r>
      <w:r>
        <w:rPr>
          <w:bCs/>
        </w:rPr>
        <w:t xml:space="preserve">го документа - Изменения к независимой гарантии. 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</w:t>
      </w:r>
      <w:r>
        <w:rPr>
          <w:bCs/>
        </w:rPr>
        <w:t xml:space="preserve">Гарантом, если иной момент вступления их в силу не определен в таких изменениях.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</w:t>
      </w:r>
      <w:r>
        <w:t xml:space="preserve">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</w:t>
      </w:r>
      <w:r>
        <w:t xml:space="preserve">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</w:t>
      </w:r>
      <w:r>
        <w:t xml:space="preserve">ных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</w:t>
      </w:r>
      <w:r>
        <w:rPr>
          <w:rFonts w:eastAsia="Calibri"/>
          <w:bCs/>
          <w:lang w:eastAsia="en-US"/>
        </w:rPr>
        <w:t xml:space="preserve">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</w:t>
      </w:r>
      <w:r>
        <w:rPr>
          <w:rFonts w:eastAsia="Calibri"/>
          <w:bCs/>
          <w:i/>
          <w:lang w:eastAsia="en-US"/>
        </w:rPr>
        <w:t xml:space="preserve">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</w:t>
      </w:r>
      <w:r>
        <w:rPr>
          <w:rFonts w:eastAsia="Arial Unicode MS"/>
          <w:lang w:eastAsia="en-US"/>
        </w:rPr>
        <w:t xml:space="preserve">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определения поставщика (подрядчика, исполнит</w:t>
      </w:r>
      <w:r>
        <w:rPr>
          <w:rFonts w:eastAsia="Arial Unicode MS"/>
          <w:i/>
          <w:lang w:eastAsia="en-US"/>
        </w:rPr>
        <w:t xml:space="preserve">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</w:t>
      </w:r>
      <w:r>
        <w:rPr>
          <w:rFonts w:eastAsia="Arial Unicode MS"/>
          <w:lang w:eastAsia="en-US"/>
        </w:rPr>
        <w:t xml:space="preserve">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бенефициара) текст</w:t>
      </w:r>
      <w:r>
        <w:rPr>
          <w:rFonts w:eastAsia="Arial Unicode MS"/>
          <w:i/>
          <w:lang w:eastAsia="en-US"/>
        </w:rPr>
        <w:t xml:space="preserve">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</w:t>
      </w:r>
      <w:r>
        <w:rPr>
          <w:rFonts w:eastAsia="Arial Unicode MS"/>
          <w:i/>
          <w:lang w:eastAsia="en-US"/>
        </w:rPr>
        <w:t xml:space="preserve">»;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</w:t>
      </w:r>
      <w:r>
        <w:rPr>
          <w:rFonts w:eastAsia="Arial Unicode MS"/>
          <w:i/>
          <w:lang w:eastAsia="en-US"/>
        </w:rPr>
        <w:t xml:space="preserve">ор».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</w:t>
      </w:r>
      <w:r>
        <w:rPr>
          <w:rFonts w:eastAsia="Arial Unicode MS"/>
          <w:lang w:eastAsia="en-US"/>
        </w:rPr>
        <w:t xml:space="preserve">ельством Российской Федерации.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</w:t>
      </w:r>
      <w:r>
        <w:rPr>
          <w:rFonts w:eastAsia="Arial Unicode MS"/>
          <w:lang w:eastAsia="en-US"/>
        </w:rPr>
        <w:t xml:space="preserve">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</w:t>
      </w:r>
      <w:r>
        <w:rPr>
          <w:rFonts w:eastAsia="Arial Unicode MS"/>
          <w:lang w:eastAsia="en-US"/>
        </w:rPr>
        <w:t xml:space="preserve">ды, возникающие в связи с перечислением денежных средств, несет Гарант.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</w:t>
      </w:r>
      <w:r>
        <w:rPr>
          <w:rFonts w:eastAsia="Arial Unicode MS"/>
          <w:lang w:eastAsia="en-US"/>
        </w:rPr>
        <w:t xml:space="preserve">_____20___года (включительно).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</w:t>
      </w:r>
      <w:r>
        <w:rPr>
          <w:rFonts w:eastAsia="Arial Unicode MS"/>
          <w:lang w:eastAsia="en-US"/>
        </w:rPr>
        <w:t xml:space="preserve">_________.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</w:t>
      </w:r>
      <w:r>
        <w:rPr>
          <w:rFonts w:eastAsia="Arial Unicode MS"/>
          <w:i/>
          <w:lang w:eastAsia="en-US"/>
        </w:rPr>
        <w:t xml:space="preserve">, следующая за датой окончания предыдущей независимой гарантии.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Бенефициара на изменение соот</w:t>
      </w:r>
      <w:r>
        <w:rPr>
          <w:rFonts w:eastAsia="Calibri"/>
          <w:bCs/>
          <w:lang w:eastAsia="en-US"/>
        </w:rPr>
        <w:t xml:space="preserve">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</w:t>
      </w:r>
      <w:r>
        <w:rPr>
          <w:rFonts w:eastAsia="Arial Unicode MS"/>
          <w:lang w:eastAsia="en-US"/>
        </w:rPr>
        <w:t xml:space="preserve">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</w:t>
      </w:r>
      <w:r>
        <w:rPr>
          <w:rFonts w:eastAsia="Arial Unicode MS"/>
          <w:lang w:eastAsia="en-US"/>
        </w:rPr>
        <w:t xml:space="preserve">ние, в соответствии с требованиями ч. 3.1 и ч. 4 ст. 5 указанного Закона.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 связи с действительностью, толкованием или исполнением настояще</w:t>
      </w:r>
      <w:r>
        <w:rPr>
          <w:rFonts w:eastAsia="Calibri"/>
          <w:lang w:eastAsia="en-US"/>
        </w:rPr>
        <w:t xml:space="preserve">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Поставщик/Исполнитель (указать в </w:t>
      </w:r>
      <w:r>
        <w:rPr>
          <w:rFonts w:eastAsia="Calibri"/>
          <w:lang w:eastAsia="en-US"/>
        </w:rPr>
        <w:t xml:space="preserve">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</w:t>
      </w:r>
      <w:r>
        <w:rPr>
          <w:rFonts w:eastAsia="Calibri"/>
          <w:lang w:eastAsia="en-US"/>
        </w:rPr>
        <w:t xml:space="preserve">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</w:t>
      </w:r>
      <w:r>
        <w:rPr>
          <w:rFonts w:eastAsia="Calibri"/>
          <w:lang w:eastAsia="en-US"/>
        </w:rPr>
        <w:t xml:space="preserve">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73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случае приема-переда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73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706090202050904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28"/>
      <w:rPr>
        <w:rStyle w:val="1427"/>
      </w:rPr>
      <w:framePr w:wrap="auto" w:vAnchor="text" w:hAnchor="margin" w:xAlign="right" w:y="1"/>
    </w:pPr>
    <w:r>
      <w:rPr>
        <w:rStyle w:val="1427"/>
      </w:rPr>
      <w:fldChar w:fldCharType="begin"/>
    </w:r>
    <w:r>
      <w:rPr>
        <w:rStyle w:val="1427"/>
      </w:rPr>
      <w:instrText xml:space="preserve">PAGE  </w:instrText>
    </w:r>
    <w:r>
      <w:rPr>
        <w:rStyle w:val="1427"/>
      </w:rPr>
      <w:fldChar w:fldCharType="separate"/>
    </w:r>
    <w:r>
      <w:rPr>
        <w:rStyle w:val="1427"/>
      </w:rPr>
      <w:t xml:space="preserve">12</w:t>
    </w:r>
    <w:r>
      <w:rPr>
        <w:rStyle w:val="1427"/>
      </w:rPr>
      <w:fldChar w:fldCharType="end"/>
    </w:r>
    <w:r>
      <w:rPr>
        <w:rStyle w:val="1427"/>
      </w:rPr>
    </w:r>
    <w:r>
      <w:rPr>
        <w:rStyle w:val="1427"/>
      </w:rPr>
    </w:r>
  </w:p>
  <w:p>
    <w:pPr>
      <w:pStyle w:val="1428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28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4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425"/>
        <w:spacing w:after="0"/>
      </w:pPr>
      <w:r>
        <w:rPr>
          <w:rStyle w:val="1580"/>
          <w:sz w:val="28"/>
          <w:szCs w:val="28"/>
          <w:vertAlign w:val="superscript"/>
        </w:rPr>
        <w:t xml:space="preserve">1</w:t>
      </w:r>
      <w:r>
        <w:rPr>
          <w:rStyle w:val="1581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441"/>
          </w:rPr>
          <w:t xml:space="preserve">http://www.cbr.ru/credit/.</w:t>
        </w:r>
      </w:hyperlink>
      <w:r>
        <w:rPr>
          <w:rStyle w:val="1581"/>
        </w:rPr>
        <w:t xml:space="preserve"> </w:t>
      </w:r>
      <w:r/>
    </w:p>
  </w:footnote>
  <w:footnote w:id="3">
    <w:p>
      <w:pPr>
        <w:pStyle w:val="1425"/>
        <w:spacing w:after="0"/>
      </w:pPr>
      <w:r>
        <w:rPr>
          <w:rStyle w:val="1580"/>
          <w:sz w:val="28"/>
          <w:szCs w:val="28"/>
          <w:vertAlign w:val="superscript"/>
        </w:rPr>
        <w:t xml:space="preserve">2</w:t>
      </w:r>
      <w:r>
        <w:rPr>
          <w:rStyle w:val="1581"/>
        </w:rPr>
        <w:t xml:space="preserve"> В частности, запрет или ограничение на прием вкладов от физ</w:t>
      </w:r>
      <w:r>
        <w:rPr>
          <w:rStyle w:val="1581"/>
        </w:rPr>
        <w:t xml:space="preserve">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441"/>
          </w:rPr>
          <w:t xml:space="preserve">https://www.cbr.ru/analytics/strfo</w:t>
        </w:r>
        <w:r>
          <w:rPr>
            <w:rStyle w:val="1441"/>
          </w:rPr>
          <w:t xml:space="preserve">rm/.</w:t>
        </w:r>
      </w:hyperlink>
      <w:r>
        <w:rPr>
          <w:rStyle w:val="1581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25"/>
        <w:spacing w:after="0"/>
      </w:pPr>
      <w:r>
        <w:t xml:space="preserve">Данн</w:t>
      </w:r>
      <w:r>
        <w:t xml:space="preserve">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441"/>
          </w:rPr>
          <w:t xml:space="preserve">ht</w:t>
        </w:r>
        <w:r>
          <w:rPr>
            <w:rStyle w:val="1441"/>
          </w:rPr>
          <w:t xml:space="preserve">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441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425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425"/>
        <w:spacing w:after="0"/>
      </w:pPr>
      <w:r>
        <w:rPr>
          <w:rStyle w:val="1424"/>
        </w:rPr>
        <w:t xml:space="preserve">5</w:t>
      </w:r>
      <w:r>
        <w:t xml:space="preserve"> Для банков с долей Российской </w:t>
      </w:r>
      <w:r>
        <w:t xml:space="preserve">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России принято решение о гарантировании непрерывности деятельности, ограничения п</w:t>
      </w:r>
      <w:r>
        <w:t xml:space="preserve">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7">
    <w:p>
      <w:pPr>
        <w:pStyle w:val="1425"/>
        <w:spacing w:after="0"/>
      </w:pPr>
      <w:r>
        <w:rPr>
          <w:rStyle w:val="1424"/>
        </w:rPr>
        <w:t xml:space="preserve">6</w:t>
      </w:r>
      <w:r>
        <w:t xml:space="preserve"> Собственный капитал банка для целей настоящего Распоряжения принимаются в с</w:t>
      </w:r>
      <w:r>
        <w:t xml:space="preserve">оответствии с данными отчетности банка, в том числе, публикуемыми на официальном сайте Банка России по адресу </w:t>
      </w:r>
      <w:hyperlink r:id="rId5" w:tooltip="http://www.cbr.ru/credit/" w:history="1">
        <w:r>
          <w:rPr>
            <w:rStyle w:val="1441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425"/>
      </w:pPr>
      <w:r>
        <w:rPr>
          <w:rStyle w:val="1580"/>
          <w:vertAlign w:val="superscript"/>
        </w:rPr>
        <w:t xml:space="preserve">8</w:t>
      </w:r>
      <w:r>
        <w:rPr>
          <w:rStyle w:val="1581"/>
        </w:rPr>
        <w:t xml:space="preserve"> В</w:t>
      </w:r>
      <w:r>
        <w:rPr>
          <w:rStyle w:val="1581"/>
        </w:rPr>
        <w:t xml:space="preserve">ключенными в реестр кредитных рейтинговых агентств Центрального банка России. Размещен на сайте ЦБ РФ. </w:t>
      </w:r>
      <w:r>
        <w:rPr>
          <w:rStyle w:val="1582"/>
        </w:rPr>
        <w:t xml:space="preserve">https://cbr.ru.</w:t>
      </w:r>
      <w:r/>
    </w:p>
  </w:footnote>
  <w:footnote w:id="9">
    <w:p>
      <w:pPr>
        <w:pStyle w:val="1425"/>
      </w:pPr>
      <w:r>
        <w:rPr>
          <w:rStyle w:val="1580"/>
          <w:vertAlign w:val="superscript"/>
        </w:rPr>
        <w:t xml:space="preserve">9</w:t>
      </w:r>
      <w:r>
        <w:rPr>
          <w:rStyle w:val="1581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425"/>
        <w:spacing w:after="0"/>
      </w:pPr>
      <w:r>
        <w:rPr>
          <w:rStyle w:val="1580"/>
          <w:sz w:val="28"/>
          <w:szCs w:val="28"/>
          <w:vertAlign w:val="superscript"/>
        </w:rPr>
        <w:t xml:space="preserve">1</w:t>
      </w:r>
      <w:r>
        <w:rPr>
          <w:rStyle w:val="1581"/>
        </w:rPr>
        <w:t xml:space="preserve"> Данные о</w:t>
      </w:r>
      <w:r>
        <w:rPr>
          <w:rStyle w:val="1581"/>
        </w:rPr>
        <w:t xml:space="preserve">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441"/>
          </w:rPr>
          <w:t xml:space="preserve">http://www.cbr.ru/credit/.</w:t>
        </w:r>
      </w:hyperlink>
      <w:r>
        <w:rPr>
          <w:rStyle w:val="1581"/>
        </w:rPr>
        <w:t xml:space="preserve"> </w:t>
      </w:r>
      <w:r/>
    </w:p>
  </w:footnote>
  <w:footnote w:id="11">
    <w:p>
      <w:pPr>
        <w:pStyle w:val="1425"/>
        <w:spacing w:after="0"/>
      </w:pPr>
      <w:r>
        <w:rPr>
          <w:rStyle w:val="1580"/>
          <w:sz w:val="28"/>
          <w:szCs w:val="28"/>
          <w:vertAlign w:val="superscript"/>
        </w:rPr>
        <w:t xml:space="preserve">2</w:t>
      </w:r>
      <w:r>
        <w:rPr>
          <w:rStyle w:val="1581"/>
        </w:rPr>
        <w:t xml:space="preserve"> В частности, запрет или ограничение на прием вкладов от физических л</w:t>
      </w:r>
      <w:r>
        <w:rPr>
          <w:rStyle w:val="1581"/>
        </w:rPr>
        <w:t xml:space="preserve">иц, если такая информация опубликована в официальных источниках и/или на официальном сайте Банка России по адресу </w:t>
      </w:r>
      <w:hyperlink r:id="rId7" w:tooltip="https://www.cbr.ru/analytics/strform/." w:history="1">
        <w:r>
          <w:rPr>
            <w:rStyle w:val="1441"/>
          </w:rPr>
          <w:t xml:space="preserve">https://www.cbr.ru/analytics/strform/.</w:t>
        </w:r>
      </w:hyperlink>
      <w:r>
        <w:rPr>
          <w:rStyle w:val="1581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</w:t>
      </w:r>
      <w:r>
        <w:rPr>
          <w:sz w:val="20"/>
          <w:szCs w:val="20"/>
        </w:rPr>
        <w:t xml:space="preserve">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25"/>
        <w:spacing w:after="0"/>
      </w:pPr>
      <w:r>
        <w:t xml:space="preserve">Данные об уча</w:t>
      </w:r>
      <w:r>
        <w:t xml:space="preserve">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441"/>
          </w:rPr>
          <w:t xml:space="preserve">http://www.</w:t>
        </w:r>
        <w:r>
          <w:rPr>
            <w:rStyle w:val="1441"/>
          </w:rPr>
          <w:t xml:space="preserve">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441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425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</w:t>
      </w:r>
      <w:r>
        <w:t xml:space="preserve">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14">
    <w:p>
      <w:pPr>
        <w:pStyle w:val="1425"/>
        <w:spacing w:after="0"/>
      </w:pPr>
      <w:r>
        <w:rPr>
          <w:rStyle w:val="1424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</w:t>
      </w:r>
      <w:r>
        <w:t xml:space="preserve">п. 3.8.3 настоящего Порядка),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</w:t>
      </w:r>
      <w:r>
        <w:t xml:space="preserve">ебованиям ст. 2 Федерального закона от 21.07.2014 № 213-ФЗ - не применяются.</w:t>
      </w:r>
      <w:r/>
    </w:p>
  </w:footnote>
  <w:footnote w:id="15">
    <w:p>
      <w:pPr>
        <w:pStyle w:val="1425"/>
        <w:spacing w:after="0"/>
      </w:pPr>
      <w:r>
        <w:rPr>
          <w:rStyle w:val="1424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</w:t>
      </w:r>
      <w:r>
        <w:t xml:space="preserve"> адресу </w:t>
      </w:r>
      <w:hyperlink r:id="rId10" w:tooltip="http://www.cbr.ru/credit/" w:history="1">
        <w:r>
          <w:rPr>
            <w:rStyle w:val="1441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425"/>
        <w:spacing w:after="0"/>
      </w:pPr>
      <w:r>
        <w:rPr>
          <w:rStyle w:val="1580"/>
          <w:vertAlign w:val="superscript"/>
        </w:rPr>
        <w:t xml:space="preserve">8</w:t>
      </w:r>
      <w:r>
        <w:rPr>
          <w:rStyle w:val="1581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582"/>
        </w:rPr>
        <w:t xml:space="preserve">https://cbr.ru.</w:t>
      </w:r>
      <w:r/>
    </w:p>
  </w:footnote>
  <w:footnote w:id="17">
    <w:p>
      <w:pPr>
        <w:pStyle w:val="1425"/>
        <w:spacing w:after="0"/>
      </w:pPr>
      <w:r>
        <w:rPr>
          <w:rStyle w:val="1580"/>
          <w:vertAlign w:val="superscript"/>
        </w:rPr>
        <w:t xml:space="preserve">9</w:t>
      </w:r>
      <w:r>
        <w:rPr>
          <w:rStyle w:val="1581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425"/>
      </w:pPr>
      <w:r>
        <w:rPr>
          <w:rStyle w:val="1424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425"/>
      </w:pPr>
      <w:r>
        <w:rPr>
          <w:rStyle w:val="1424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425"/>
      </w:pPr>
      <w:r>
        <w:rPr>
          <w:rStyle w:val="1424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425"/>
        <w:spacing w:after="0"/>
      </w:pPr>
      <w:r>
        <w:rPr>
          <w:rStyle w:val="1424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2">
    <w:p>
      <w:pPr>
        <w:pStyle w:val="1425"/>
        <w:spacing w:after="0"/>
      </w:pPr>
      <w:r>
        <w:rPr>
          <w:rStyle w:val="1424"/>
        </w:rPr>
        <w:footnoteRef/>
      </w:r>
      <w:r>
        <w:t xml:space="preserve"> В соответствии со ст. 102 НК РФ – данная информац</w:t>
      </w:r>
      <w:r>
        <w:t xml:space="preserve">ия не является налоговой тайной</w:t>
      </w:r>
      <w:r/>
    </w:p>
  </w:footnote>
  <w:footnote w:id="23">
    <w:p>
      <w:pPr>
        <w:pStyle w:val="1425"/>
        <w:spacing w:after="0"/>
      </w:pPr>
      <w:r>
        <w:rPr>
          <w:rStyle w:val="1424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425"/>
      </w:pPr>
      <w:r>
        <w:rPr>
          <w:rStyle w:val="1424"/>
        </w:rPr>
        <w:footnoteRef/>
      </w:r>
      <w:r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</w:t>
      </w:r>
      <w:r>
        <w:t xml:space="preserve">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</w:t>
      </w:r>
      <w:r>
        <w:t xml:space="preserve">нных Российской Федерацией на основании федеральных законов, включенные в перечни должностей, определяемые Президентом Российской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425"/>
      </w:pPr>
      <w:r>
        <w:rPr>
          <w:rStyle w:val="1424"/>
        </w:rPr>
        <w:t xml:space="preserve">1</w:t>
      </w:r>
      <w:r>
        <w:t xml:space="preserve"> Указание вместо реквизитов лицензии Банка России реквизитов иных до</w:t>
      </w:r>
      <w:r>
        <w:t xml:space="preserve">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6">
    <w:p>
      <w:pPr>
        <w:pStyle w:val="1425"/>
      </w:pPr>
      <w:r>
        <w:rPr>
          <w:rStyle w:val="1424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</w:t>
      </w:r>
      <w:r>
        <w:t xml:space="preserve">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7">
    <w:p>
      <w:pPr>
        <w:pStyle w:val="1425"/>
      </w:pPr>
      <w:r>
        <w:rPr>
          <w:rStyle w:val="1424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562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pStyle w:val="1488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491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492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394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525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pStyle w:val="1556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558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557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559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3">
    <w:multiLevelType w:val="hybridMultilevel"/>
    <w:lvl w:ilvl="0">
      <w:start w:val="20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94">
    <w:multiLevelType w:val="hybridMultilevel"/>
    <w:lvl w:ilvl="0">
      <w:start w:val="21"/>
      <w:numFmt w:val="decimal"/>
      <w:isLgl w:val="false"/>
      <w:suff w:val="tab"/>
      <w:lvlText w:val="%1)"/>
      <w:lvlJc w:val="right"/>
      <w:pPr>
        <w:ind w:left="862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num w:numId="1">
    <w:abstractNumId w:val="37"/>
  </w:num>
  <w:num w:numId="2">
    <w:abstractNumId w:val="57"/>
  </w:num>
  <w:num w:numId="3">
    <w:abstractNumId w:val="54"/>
  </w:num>
  <w:num w:numId="4">
    <w:abstractNumId w:val="11"/>
  </w:num>
  <w:num w:numId="5">
    <w:abstractNumId w:val="80"/>
  </w:num>
  <w:num w:numId="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52"/>
  </w:num>
  <w:num w:numId="9">
    <w:abstractNumId w:val="92"/>
  </w:num>
  <w:num w:numId="10">
    <w:abstractNumId w:val="16"/>
  </w:num>
  <w:num w:numId="11">
    <w:abstractNumId w:val="9"/>
  </w:num>
  <w:num w:numId="12">
    <w:abstractNumId w:val="26"/>
  </w:num>
  <w:num w:numId="13">
    <w:abstractNumId w:val="7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"/>
  </w:num>
  <w:num w:numId="17">
    <w:abstractNumId w:val="78"/>
  </w:num>
  <w:num w:numId="18">
    <w:abstractNumId w:val="89"/>
  </w:num>
  <w:num w:numId="19">
    <w:abstractNumId w:val="24"/>
  </w:num>
  <w:num w:numId="20">
    <w:abstractNumId w:val="29"/>
  </w:num>
  <w:num w:numId="21">
    <w:abstractNumId w:val="58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60"/>
  </w:num>
  <w:num w:numId="25">
    <w:abstractNumId w:val="25"/>
  </w:num>
  <w:num w:numId="26">
    <w:abstractNumId w:val="35"/>
  </w:num>
  <w:num w:numId="27">
    <w:abstractNumId w:val="63"/>
  </w:num>
  <w:num w:numId="28">
    <w:abstractNumId w:val="38"/>
  </w:num>
  <w:num w:numId="2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6"/>
  </w:num>
  <w:num w:numId="31">
    <w:abstractNumId w:val="51"/>
  </w:num>
  <w:num w:numId="32">
    <w:abstractNumId w:val="71"/>
  </w:num>
  <w:num w:numId="33">
    <w:abstractNumId w:val="31"/>
  </w:num>
  <w:num w:numId="34">
    <w:abstractNumId w:val="34"/>
  </w:num>
  <w:num w:numId="35">
    <w:abstractNumId w:val="32"/>
  </w:num>
  <w:num w:numId="36">
    <w:abstractNumId w:val="76"/>
  </w:num>
  <w:num w:numId="37">
    <w:abstractNumId w:val="49"/>
  </w:num>
  <w:num w:numId="38">
    <w:abstractNumId w:val="12"/>
  </w:num>
  <w:num w:numId="39">
    <w:abstractNumId w:val="72"/>
  </w:num>
  <w:num w:numId="40">
    <w:abstractNumId w:val="8"/>
  </w:num>
  <w:num w:numId="41">
    <w:abstractNumId w:val="10"/>
  </w:num>
  <w:num w:numId="42">
    <w:abstractNumId w:val="83"/>
  </w:num>
  <w:num w:numId="43">
    <w:abstractNumId w:val="62"/>
  </w:num>
  <w:num w:numId="44">
    <w:abstractNumId w:val="67"/>
  </w:num>
  <w:num w:numId="45">
    <w:abstractNumId w:val="15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6"/>
  </w:num>
  <w:num w:numId="48">
    <w:abstractNumId w:val="90"/>
  </w:num>
  <w:num w:numId="49">
    <w:abstractNumId w:val="85"/>
  </w:num>
  <w:num w:numId="50">
    <w:abstractNumId w:val="84"/>
  </w:num>
  <w:num w:numId="51">
    <w:abstractNumId w:val="74"/>
  </w:num>
  <w:num w:numId="52">
    <w:abstractNumId w:val="27"/>
  </w:num>
  <w:num w:numId="53">
    <w:abstractNumId w:val="69"/>
  </w:num>
  <w:num w:numId="54">
    <w:abstractNumId w:val="42"/>
  </w:num>
  <w:num w:numId="55">
    <w:abstractNumId w:val="1"/>
  </w:num>
  <w:num w:numId="56">
    <w:abstractNumId w:val="65"/>
  </w:num>
  <w:num w:numId="57">
    <w:abstractNumId w:val="19"/>
  </w:num>
  <w:num w:numId="58">
    <w:abstractNumId w:val="20"/>
  </w:num>
  <w:num w:numId="59">
    <w:abstractNumId w:val="45"/>
  </w:num>
  <w:num w:numId="60">
    <w:abstractNumId w:val="43"/>
  </w:num>
  <w:num w:numId="61">
    <w:abstractNumId w:val="64"/>
  </w:num>
  <w:num w:numId="62">
    <w:abstractNumId w:val="41"/>
  </w:num>
  <w:num w:numId="63">
    <w:abstractNumId w:val="66"/>
  </w:num>
  <w:num w:numId="64">
    <w:abstractNumId w:val="73"/>
  </w:num>
  <w:num w:numId="65">
    <w:abstractNumId w:val="17"/>
  </w:num>
  <w:num w:numId="66">
    <w:abstractNumId w:val="14"/>
  </w:num>
  <w:num w:numId="67">
    <w:abstractNumId w:val="47"/>
  </w:num>
  <w:num w:numId="68">
    <w:abstractNumId w:val="28"/>
  </w:num>
  <w:num w:numId="69">
    <w:abstractNumId w:val="22"/>
  </w:num>
  <w:num w:numId="70">
    <w:abstractNumId w:val="13"/>
  </w:num>
  <w:num w:numId="71">
    <w:abstractNumId w:val="68"/>
  </w:num>
  <w:num w:numId="72">
    <w:abstractNumId w:val="87"/>
  </w:num>
  <w:num w:numId="73">
    <w:abstractNumId w:val="5"/>
  </w:num>
  <w:num w:numId="74">
    <w:abstractNumId w:val="39"/>
  </w:num>
  <w:num w:numId="75">
    <w:abstractNumId w:val="4"/>
  </w:num>
  <w:num w:numId="76">
    <w:abstractNumId w:val="3"/>
  </w:num>
  <w:num w:numId="77">
    <w:abstractNumId w:val="50"/>
  </w:num>
  <w:num w:numId="78">
    <w:abstractNumId w:val="70"/>
  </w:num>
  <w:num w:numId="79">
    <w:abstractNumId w:val="82"/>
  </w:num>
  <w:num w:numId="80">
    <w:abstractNumId w:val="48"/>
  </w:num>
  <w:num w:numId="81">
    <w:abstractNumId w:val="88"/>
  </w:num>
  <w:num w:numId="82">
    <w:abstractNumId w:val="36"/>
  </w:num>
  <w:num w:numId="83">
    <w:abstractNumId w:val="75"/>
  </w:num>
  <w:num w:numId="84">
    <w:abstractNumId w:val="40"/>
  </w:num>
  <w:num w:numId="85">
    <w:abstractNumId w:val="2"/>
  </w:num>
  <w:num w:numId="86">
    <w:abstractNumId w:val="86"/>
  </w:num>
  <w:num w:numId="87">
    <w:abstractNumId w:val="18"/>
  </w:num>
  <w:num w:numId="88">
    <w:abstractNumId w:val="33"/>
  </w:num>
  <w:num w:numId="89">
    <w:abstractNumId w:val="59"/>
  </w:num>
  <w:num w:numId="90">
    <w:abstractNumId w:val="91"/>
  </w:num>
  <w:num w:numId="91">
    <w:abstractNumId w:val="30"/>
  </w:num>
  <w:num w:numId="92">
    <w:abstractNumId w:val="55"/>
  </w:num>
  <w:num w:numId="93">
    <w:abstractNumId w:val="61"/>
  </w:num>
  <w:num w:numId="94">
    <w:abstractNumId w:val="93"/>
  </w:num>
  <w:num w:numId="95">
    <w:abstractNumId w:val="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20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1">
    <w:name w:val="Heading 1"/>
    <w:basedOn w:val="1220"/>
    <w:next w:val="1220"/>
    <w:link w:val="138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222">
    <w:name w:val="Heading 2"/>
    <w:basedOn w:val="1220"/>
    <w:next w:val="1220"/>
    <w:link w:val="138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223">
    <w:name w:val="Heading 3"/>
    <w:basedOn w:val="1220"/>
    <w:next w:val="1220"/>
    <w:link w:val="138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224">
    <w:name w:val="Heading 4"/>
    <w:basedOn w:val="1220"/>
    <w:next w:val="1220"/>
    <w:link w:val="138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225">
    <w:name w:val="Heading 5"/>
    <w:basedOn w:val="1220"/>
    <w:next w:val="1220"/>
    <w:link w:val="138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226">
    <w:name w:val="Heading 6"/>
    <w:basedOn w:val="1220"/>
    <w:next w:val="1220"/>
    <w:link w:val="138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227">
    <w:name w:val="Heading 7"/>
    <w:basedOn w:val="1220"/>
    <w:next w:val="1220"/>
    <w:link w:val="138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228">
    <w:name w:val="Heading 8"/>
    <w:basedOn w:val="1220"/>
    <w:next w:val="1220"/>
    <w:link w:val="139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229">
    <w:name w:val="Heading 9"/>
    <w:basedOn w:val="1220"/>
    <w:next w:val="1220"/>
    <w:link w:val="139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230" w:default="1">
    <w:name w:val="Default Paragraph Font"/>
    <w:uiPriority w:val="1"/>
    <w:semiHidden/>
    <w:unhideWhenUsed/>
  </w:style>
  <w:style w:type="table" w:styleId="12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32" w:default="1">
    <w:name w:val="No List"/>
    <w:uiPriority w:val="99"/>
    <w:semiHidden/>
    <w:unhideWhenUsed/>
  </w:style>
  <w:style w:type="character" w:styleId="1233" w:customStyle="1">
    <w:name w:val="Quote Char"/>
    <w:uiPriority w:val="29"/>
    <w:rPr>
      <w:i/>
    </w:rPr>
  </w:style>
  <w:style w:type="character" w:styleId="1234" w:customStyle="1">
    <w:name w:val="Intense Quote Char"/>
    <w:uiPriority w:val="30"/>
    <w:rPr>
      <w:i/>
    </w:rPr>
  </w:style>
  <w:style w:type="character" w:styleId="1235" w:customStyle="1">
    <w:name w:val="Heading 1 Char"/>
    <w:basedOn w:val="1230"/>
    <w:uiPriority w:val="9"/>
    <w:rPr>
      <w:rFonts w:ascii="Arial" w:hAnsi="Arial" w:eastAsia="Arial" w:cs="Arial"/>
      <w:sz w:val="40"/>
      <w:szCs w:val="40"/>
    </w:rPr>
  </w:style>
  <w:style w:type="character" w:styleId="1236" w:customStyle="1">
    <w:name w:val="Heading 2 Char"/>
    <w:basedOn w:val="1230"/>
    <w:uiPriority w:val="9"/>
    <w:rPr>
      <w:rFonts w:ascii="Arial" w:hAnsi="Arial" w:eastAsia="Arial" w:cs="Arial"/>
      <w:sz w:val="34"/>
    </w:rPr>
  </w:style>
  <w:style w:type="character" w:styleId="1237" w:customStyle="1">
    <w:name w:val="Heading 3 Char"/>
    <w:basedOn w:val="1230"/>
    <w:uiPriority w:val="9"/>
    <w:rPr>
      <w:rFonts w:ascii="Arial" w:hAnsi="Arial" w:eastAsia="Arial" w:cs="Arial"/>
      <w:sz w:val="30"/>
      <w:szCs w:val="30"/>
    </w:rPr>
  </w:style>
  <w:style w:type="character" w:styleId="1238" w:customStyle="1">
    <w:name w:val="Heading 4 Char"/>
    <w:basedOn w:val="1230"/>
    <w:uiPriority w:val="9"/>
    <w:rPr>
      <w:rFonts w:ascii="Arial" w:hAnsi="Arial" w:eastAsia="Arial" w:cs="Arial"/>
      <w:b/>
      <w:bCs/>
      <w:sz w:val="26"/>
      <w:szCs w:val="26"/>
    </w:rPr>
  </w:style>
  <w:style w:type="character" w:styleId="1239" w:customStyle="1">
    <w:name w:val="Heading 5 Char"/>
    <w:basedOn w:val="1230"/>
    <w:uiPriority w:val="9"/>
    <w:rPr>
      <w:rFonts w:ascii="Arial" w:hAnsi="Arial" w:eastAsia="Arial" w:cs="Arial"/>
      <w:b/>
      <w:bCs/>
      <w:sz w:val="24"/>
      <w:szCs w:val="24"/>
    </w:rPr>
  </w:style>
  <w:style w:type="character" w:styleId="1240" w:customStyle="1">
    <w:name w:val="Heading 6 Char"/>
    <w:basedOn w:val="1230"/>
    <w:uiPriority w:val="9"/>
    <w:rPr>
      <w:rFonts w:ascii="Arial" w:hAnsi="Arial" w:eastAsia="Arial" w:cs="Arial"/>
      <w:b/>
      <w:bCs/>
      <w:sz w:val="22"/>
      <w:szCs w:val="22"/>
    </w:rPr>
  </w:style>
  <w:style w:type="character" w:styleId="1241" w:customStyle="1">
    <w:name w:val="Heading 7 Char"/>
    <w:basedOn w:val="12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242" w:customStyle="1">
    <w:name w:val="Heading 8 Char"/>
    <w:basedOn w:val="1230"/>
    <w:uiPriority w:val="9"/>
    <w:rPr>
      <w:rFonts w:ascii="Arial" w:hAnsi="Arial" w:eastAsia="Arial" w:cs="Arial"/>
      <w:i/>
      <w:iCs/>
      <w:sz w:val="22"/>
      <w:szCs w:val="22"/>
    </w:rPr>
  </w:style>
  <w:style w:type="character" w:styleId="1243" w:customStyle="1">
    <w:name w:val="Heading 9 Char"/>
    <w:basedOn w:val="1230"/>
    <w:uiPriority w:val="9"/>
    <w:rPr>
      <w:rFonts w:ascii="Arial" w:hAnsi="Arial" w:eastAsia="Arial" w:cs="Arial"/>
      <w:i/>
      <w:iCs/>
      <w:sz w:val="21"/>
      <w:szCs w:val="21"/>
    </w:rPr>
  </w:style>
  <w:style w:type="character" w:styleId="1244" w:customStyle="1">
    <w:name w:val="Title Char"/>
    <w:basedOn w:val="1230"/>
    <w:uiPriority w:val="10"/>
    <w:rPr>
      <w:sz w:val="48"/>
      <w:szCs w:val="48"/>
    </w:rPr>
  </w:style>
  <w:style w:type="character" w:styleId="1245" w:customStyle="1">
    <w:name w:val="Subtitle Char"/>
    <w:basedOn w:val="1230"/>
    <w:uiPriority w:val="11"/>
    <w:rPr>
      <w:sz w:val="24"/>
      <w:szCs w:val="24"/>
    </w:rPr>
  </w:style>
  <w:style w:type="paragraph" w:styleId="1246">
    <w:name w:val="Quote"/>
    <w:basedOn w:val="1220"/>
    <w:next w:val="1220"/>
    <w:link w:val="1247"/>
    <w:uiPriority w:val="29"/>
    <w:qFormat/>
    <w:pPr>
      <w:ind w:left="720" w:right="720"/>
    </w:pPr>
    <w:rPr>
      <w:i/>
    </w:rPr>
  </w:style>
  <w:style w:type="character" w:styleId="1247" w:customStyle="1">
    <w:name w:val="Цитата 2 Знак"/>
    <w:link w:val="1246"/>
    <w:uiPriority w:val="29"/>
    <w:rPr>
      <w:i/>
    </w:rPr>
  </w:style>
  <w:style w:type="paragraph" w:styleId="1248">
    <w:name w:val="Intense Quote"/>
    <w:basedOn w:val="1220"/>
    <w:next w:val="1220"/>
    <w:link w:val="12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49" w:customStyle="1">
    <w:name w:val="Выделенная цитата Знак"/>
    <w:link w:val="1248"/>
    <w:uiPriority w:val="30"/>
    <w:rPr>
      <w:i/>
    </w:rPr>
  </w:style>
  <w:style w:type="character" w:styleId="1250" w:customStyle="1">
    <w:name w:val="Header Char"/>
    <w:basedOn w:val="1230"/>
    <w:uiPriority w:val="99"/>
  </w:style>
  <w:style w:type="character" w:styleId="1251" w:customStyle="1">
    <w:name w:val="Footer Char"/>
    <w:basedOn w:val="1230"/>
    <w:uiPriority w:val="99"/>
  </w:style>
  <w:style w:type="character" w:styleId="1252" w:customStyle="1">
    <w:name w:val="Caption Char"/>
    <w:uiPriority w:val="99"/>
  </w:style>
  <w:style w:type="table" w:styleId="1253" w:customStyle="1">
    <w:name w:val="Table Grid Light"/>
    <w:basedOn w:val="123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54">
    <w:name w:val="Plain Table 1"/>
    <w:basedOn w:val="123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55">
    <w:name w:val="Plain Table 2"/>
    <w:basedOn w:val="123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56">
    <w:name w:val="Plain Table 3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57">
    <w:name w:val="Plain Table 4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8">
    <w:name w:val="Plain Table 5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59">
    <w:name w:val="Grid Table 1 Light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0" w:customStyle="1">
    <w:name w:val="Grid Table 1 Light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1" w:customStyle="1">
    <w:name w:val="Grid Table 1 Light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2" w:customStyle="1">
    <w:name w:val="Grid Table 1 Light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3" w:customStyle="1">
    <w:name w:val="Grid Table 1 Light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4" w:customStyle="1">
    <w:name w:val="Grid Table 1 Light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5" w:customStyle="1">
    <w:name w:val="Grid Table 1 Light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6">
    <w:name w:val="Grid Table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7" w:customStyle="1">
    <w:name w:val="Grid Table 2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8" w:customStyle="1">
    <w:name w:val="Grid Table 2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9" w:customStyle="1">
    <w:name w:val="Grid Table 2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0" w:customStyle="1">
    <w:name w:val="Grid Table 2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1" w:customStyle="1">
    <w:name w:val="Grid Table 2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2" w:customStyle="1">
    <w:name w:val="Grid Table 2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3">
    <w:name w:val="Grid Table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4" w:customStyle="1">
    <w:name w:val="Grid Table 3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5" w:customStyle="1">
    <w:name w:val="Grid Table 3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6" w:customStyle="1">
    <w:name w:val="Grid Table 3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7" w:customStyle="1">
    <w:name w:val="Grid Table 3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8" w:customStyle="1">
    <w:name w:val="Grid Table 3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9" w:customStyle="1">
    <w:name w:val="Grid Table 3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0">
    <w:name w:val="Grid Table 4"/>
    <w:basedOn w:val="12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81" w:customStyle="1">
    <w:name w:val="Grid Table 4 - Accent 1"/>
    <w:basedOn w:val="12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282" w:customStyle="1">
    <w:name w:val="Grid Table 4 - Accent 2"/>
    <w:basedOn w:val="12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83" w:customStyle="1">
    <w:name w:val="Grid Table 4 - Accent 3"/>
    <w:basedOn w:val="12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84" w:customStyle="1">
    <w:name w:val="Grid Table 4 - Accent 4"/>
    <w:basedOn w:val="12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85" w:customStyle="1">
    <w:name w:val="Grid Table 4 - Accent 5"/>
    <w:basedOn w:val="12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86" w:customStyle="1">
    <w:name w:val="Grid Table 4 - Accent 6"/>
    <w:basedOn w:val="12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87">
    <w:name w:val="Grid Table 5 Dark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88" w:customStyle="1">
    <w:name w:val="Grid Table 5 Dark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89" w:customStyle="1">
    <w:name w:val="Grid Table 5 Dark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90" w:customStyle="1">
    <w:name w:val="Grid Table 5 Dark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91" w:customStyle="1">
    <w:name w:val="Grid Table 5 Dark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92" w:customStyle="1">
    <w:name w:val="Grid Table 5 Dark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93" w:customStyle="1">
    <w:name w:val="Grid Table 5 Dark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94">
    <w:name w:val="Grid Table 6 Colorful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95" w:customStyle="1">
    <w:name w:val="Grid Table 6 Colorful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96" w:customStyle="1">
    <w:name w:val="Grid Table 6 Colorful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97" w:customStyle="1">
    <w:name w:val="Grid Table 6 Colorful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98" w:customStyle="1">
    <w:name w:val="Grid Table 6 Colorful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99" w:customStyle="1">
    <w:name w:val="Grid Table 6 Colorful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300" w:customStyle="1">
    <w:name w:val="Grid Table 6 Colorful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301">
    <w:name w:val="Grid Table 7 Colorful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2" w:customStyle="1">
    <w:name w:val="Grid Table 7 Colorful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3" w:customStyle="1">
    <w:name w:val="Grid Table 7 Colorful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4" w:customStyle="1">
    <w:name w:val="Grid Table 7 Colorful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5" w:customStyle="1">
    <w:name w:val="Grid Table 7 Colorful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6" w:customStyle="1">
    <w:name w:val="Grid Table 7 Colorful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7" w:customStyle="1">
    <w:name w:val="Grid Table 7 Colorful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8">
    <w:name w:val="List Table 1 Light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9" w:customStyle="1">
    <w:name w:val="List Table 1 Light - Accent 1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0" w:customStyle="1">
    <w:name w:val="List Table 1 Light - Accent 2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1" w:customStyle="1">
    <w:name w:val="List Table 1 Light - Accent 3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2" w:customStyle="1">
    <w:name w:val="List Table 1 Light - Accent 4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3" w:customStyle="1">
    <w:name w:val="List Table 1 Light - Accent 5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4" w:customStyle="1">
    <w:name w:val="List Table 1 Light - Accent 6"/>
    <w:basedOn w:val="12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5">
    <w:name w:val="List Table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316" w:customStyle="1">
    <w:name w:val="List Table 2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317" w:customStyle="1">
    <w:name w:val="List Table 2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318" w:customStyle="1">
    <w:name w:val="List Table 2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319" w:customStyle="1">
    <w:name w:val="List Table 2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320" w:customStyle="1">
    <w:name w:val="List Table 2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321" w:customStyle="1">
    <w:name w:val="List Table 2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322">
    <w:name w:val="List Table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3" w:customStyle="1">
    <w:name w:val="List Table 3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4" w:customStyle="1">
    <w:name w:val="List Table 3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5" w:customStyle="1">
    <w:name w:val="List Table 3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6" w:customStyle="1">
    <w:name w:val="List Table 3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7" w:customStyle="1">
    <w:name w:val="List Table 3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8" w:customStyle="1">
    <w:name w:val="List Table 3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9">
    <w:name w:val="List Table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0" w:customStyle="1">
    <w:name w:val="List Table 4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1" w:customStyle="1">
    <w:name w:val="List Table 4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2" w:customStyle="1">
    <w:name w:val="List Table 4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3" w:customStyle="1">
    <w:name w:val="List Table 4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4" w:customStyle="1">
    <w:name w:val="List Table 4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5" w:customStyle="1">
    <w:name w:val="List Table 4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6">
    <w:name w:val="List Table 5 Dark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7" w:customStyle="1">
    <w:name w:val="List Table 5 Dark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8" w:customStyle="1">
    <w:name w:val="List Table 5 Dark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39" w:customStyle="1">
    <w:name w:val="List Table 5 Dark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0" w:customStyle="1">
    <w:name w:val="List Table 5 Dark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1" w:customStyle="1">
    <w:name w:val="List Table 5 Dark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2" w:customStyle="1">
    <w:name w:val="List Table 5 Dark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3">
    <w:name w:val="List Table 6 Colorful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344" w:customStyle="1">
    <w:name w:val="List Table 6 Colorful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345" w:customStyle="1">
    <w:name w:val="List Table 6 Colorful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346" w:customStyle="1">
    <w:name w:val="List Table 6 Colorful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347" w:customStyle="1">
    <w:name w:val="List Table 6 Colorful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348" w:customStyle="1">
    <w:name w:val="List Table 6 Colorful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349" w:customStyle="1">
    <w:name w:val="List Table 6 Colorful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350">
    <w:name w:val="List Table 7 Colorful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1" w:customStyle="1">
    <w:name w:val="List Table 7 Colorful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2" w:customStyle="1">
    <w:name w:val="List Table 7 Colorful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3" w:customStyle="1">
    <w:name w:val="List Table 7 Colorful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4" w:customStyle="1">
    <w:name w:val="List Table 7 Colorful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5" w:customStyle="1">
    <w:name w:val="List Table 7 Colorful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6" w:customStyle="1">
    <w:name w:val="List Table 7 Colorful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7" w:customStyle="1">
    <w:name w:val="Lined - Accent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58" w:customStyle="1">
    <w:name w:val="Lined - Accent 1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59" w:customStyle="1">
    <w:name w:val="Lined - Accent 2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60" w:customStyle="1">
    <w:name w:val="Lined - Accent 3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61" w:customStyle="1">
    <w:name w:val="Lined - Accent 4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62" w:customStyle="1">
    <w:name w:val="Lined - Accent 5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63" w:customStyle="1">
    <w:name w:val="Lined - Accent 6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64" w:customStyle="1">
    <w:name w:val="Bordered &amp; Lined - Accent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65" w:customStyle="1">
    <w:name w:val="Bordered &amp; Lined - Accent 1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66" w:customStyle="1">
    <w:name w:val="Bordered &amp; Lined - Accent 2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67" w:customStyle="1">
    <w:name w:val="Bordered &amp; Lined - Accent 3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68" w:customStyle="1">
    <w:name w:val="Bordered &amp; Lined - Accent 4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69" w:customStyle="1">
    <w:name w:val="Bordered &amp; Lined - Accent 5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70" w:customStyle="1">
    <w:name w:val="Bordered &amp; Lined - Accent 6"/>
    <w:basedOn w:val="123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71" w:customStyle="1">
    <w:name w:val="Bordered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372" w:customStyle="1">
    <w:name w:val="Bordered - Accent 1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373" w:customStyle="1">
    <w:name w:val="Bordered - Accent 2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374" w:customStyle="1">
    <w:name w:val="Bordered - Accent 3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375" w:customStyle="1">
    <w:name w:val="Bordered - Accent 4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376" w:customStyle="1">
    <w:name w:val="Bordered - Accent 5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377" w:customStyle="1">
    <w:name w:val="Bordered - Accent 6"/>
    <w:basedOn w:val="12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378" w:customStyle="1">
    <w:name w:val="Footnote Text Char"/>
    <w:uiPriority w:val="99"/>
    <w:rPr>
      <w:sz w:val="18"/>
    </w:rPr>
  </w:style>
  <w:style w:type="character" w:styleId="1379" w:customStyle="1">
    <w:name w:val="Endnote Text Char"/>
    <w:uiPriority w:val="99"/>
    <w:rPr>
      <w:sz w:val="20"/>
    </w:rPr>
  </w:style>
  <w:style w:type="character" w:styleId="1380">
    <w:name w:val="endnote reference"/>
    <w:basedOn w:val="1230"/>
    <w:uiPriority w:val="99"/>
    <w:semiHidden/>
    <w:unhideWhenUsed/>
    <w:rPr>
      <w:vertAlign w:val="superscript"/>
    </w:rPr>
  </w:style>
  <w:style w:type="paragraph" w:styleId="1381">
    <w:name w:val="TOC Heading"/>
    <w:uiPriority w:val="39"/>
    <w:unhideWhenUsed/>
  </w:style>
  <w:style w:type="paragraph" w:styleId="1382">
    <w:name w:val="table of figures"/>
    <w:basedOn w:val="1220"/>
    <w:next w:val="1220"/>
    <w:uiPriority w:val="99"/>
    <w:unhideWhenUsed/>
    <w:pPr>
      <w:spacing w:after="0"/>
    </w:pPr>
  </w:style>
  <w:style w:type="character" w:styleId="1383" w:customStyle="1">
    <w:name w:val="Заголовок 1 Знак1"/>
    <w:link w:val="1221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384" w:customStyle="1">
    <w:name w:val="Заголовок 2 Знак"/>
    <w:basedOn w:val="1230"/>
    <w:link w:val="1222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385" w:customStyle="1">
    <w:name w:val="Заголовок 3 Знак"/>
    <w:basedOn w:val="1230"/>
    <w:link w:val="1223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386" w:customStyle="1">
    <w:name w:val="Заголовок 4 Знак"/>
    <w:basedOn w:val="1230"/>
    <w:link w:val="1224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387" w:customStyle="1">
    <w:name w:val="Заголовок 5 Знак"/>
    <w:basedOn w:val="1230"/>
    <w:link w:val="1225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388" w:customStyle="1">
    <w:name w:val="Заголовок 6 Знак"/>
    <w:basedOn w:val="1230"/>
    <w:link w:val="1226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389" w:customStyle="1">
    <w:name w:val="Заголовок 7 Знак"/>
    <w:basedOn w:val="1230"/>
    <w:link w:val="1227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390" w:customStyle="1">
    <w:name w:val="Заголовок 8 Знак"/>
    <w:basedOn w:val="1230"/>
    <w:link w:val="1228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391" w:customStyle="1">
    <w:name w:val="Заголовок 9 Знак"/>
    <w:basedOn w:val="1230"/>
    <w:link w:val="1229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392" w:customStyle="1">
    <w:name w:val="Заголовок 1 Знак"/>
    <w:basedOn w:val="1230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393" w:customStyle="1">
    <w:name w:val="Основной текст с отступом1"/>
    <w:basedOn w:val="1220"/>
    <w:uiPriority w:val="99"/>
    <w:pPr>
      <w:ind w:firstLine="851"/>
      <w:spacing w:before="60" w:after="0"/>
    </w:pPr>
  </w:style>
  <w:style w:type="paragraph" w:styleId="1394">
    <w:name w:val="Body Text Indent"/>
    <w:basedOn w:val="1220"/>
    <w:link w:val="1395"/>
    <w:uiPriority w:val="99"/>
    <w:pPr>
      <w:numPr>
        <w:ilvl w:val="1"/>
        <w:numId w:val="2"/>
      </w:numPr>
    </w:pPr>
  </w:style>
  <w:style w:type="character" w:styleId="1395" w:customStyle="1">
    <w:name w:val="Основной текст с отступом Знак"/>
    <w:basedOn w:val="1230"/>
    <w:link w:val="139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6">
    <w:name w:val="List Bullet"/>
    <w:basedOn w:val="1220"/>
    <w:uiPriority w:val="99"/>
    <w:pPr>
      <w:widowControl w:val="off"/>
    </w:pPr>
  </w:style>
  <w:style w:type="paragraph" w:styleId="1397">
    <w:name w:val="List Bullet 2"/>
    <w:basedOn w:val="1220"/>
    <w:uiPriority w:val="99"/>
    <w:pPr>
      <w:ind w:left="643" w:hanging="360"/>
      <w:tabs>
        <w:tab w:val="num" w:pos="643" w:leader="none"/>
      </w:tabs>
    </w:pPr>
  </w:style>
  <w:style w:type="paragraph" w:styleId="1398">
    <w:name w:val="List Bullet 3"/>
    <w:basedOn w:val="122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99">
    <w:name w:val="List Bullet 4"/>
    <w:basedOn w:val="122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400">
    <w:name w:val="List Bullet 5"/>
    <w:basedOn w:val="122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401">
    <w:name w:val="List Number"/>
    <w:basedOn w:val="1220"/>
    <w:uiPriority w:val="99"/>
    <w:pPr>
      <w:ind w:left="360" w:hanging="360"/>
      <w:tabs>
        <w:tab w:val="num" w:pos="1492" w:leader="none"/>
      </w:tabs>
    </w:pPr>
  </w:style>
  <w:style w:type="paragraph" w:styleId="1402">
    <w:name w:val="List Number 2"/>
    <w:basedOn w:val="1220"/>
    <w:uiPriority w:val="99"/>
    <w:pPr>
      <w:ind w:left="643" w:hanging="360"/>
      <w:tabs>
        <w:tab w:val="num" w:pos="643" w:leader="none"/>
      </w:tabs>
    </w:pPr>
  </w:style>
  <w:style w:type="paragraph" w:styleId="1403">
    <w:name w:val="List Number 3"/>
    <w:basedOn w:val="122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404">
    <w:name w:val="List Number 4"/>
    <w:basedOn w:val="122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405">
    <w:name w:val="List Number 5"/>
    <w:basedOn w:val="122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406">
    <w:name w:val="Title"/>
    <w:basedOn w:val="1220"/>
    <w:link w:val="1407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407" w:customStyle="1">
    <w:name w:val="Заголовок Знак"/>
    <w:basedOn w:val="1230"/>
    <w:link w:val="1406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408">
    <w:name w:val="Subtitle"/>
    <w:basedOn w:val="1220"/>
    <w:link w:val="1409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409" w:customStyle="1">
    <w:name w:val="Подзаголовок Знак"/>
    <w:basedOn w:val="1230"/>
    <w:link w:val="1408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410">
    <w:name w:val="toc 3"/>
    <w:basedOn w:val="1220"/>
    <w:next w:val="1220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411">
    <w:name w:val="toc 1"/>
    <w:basedOn w:val="1220"/>
    <w:next w:val="1220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412">
    <w:name w:val="toc 2"/>
    <w:basedOn w:val="1220"/>
    <w:next w:val="1220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413">
    <w:name w:val="Date"/>
    <w:basedOn w:val="1220"/>
    <w:next w:val="1220"/>
    <w:link w:val="1414"/>
    <w:uiPriority w:val="99"/>
  </w:style>
  <w:style w:type="character" w:styleId="1414" w:customStyle="1">
    <w:name w:val="Дата Знак"/>
    <w:basedOn w:val="1230"/>
    <w:link w:val="141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5">
    <w:name w:val="Body Text"/>
    <w:basedOn w:val="1220"/>
    <w:link w:val="1416"/>
    <w:uiPriority w:val="99"/>
    <w:pPr>
      <w:spacing w:after="120"/>
    </w:pPr>
  </w:style>
  <w:style w:type="character" w:styleId="1416" w:customStyle="1">
    <w:name w:val="Основной текст Знак"/>
    <w:basedOn w:val="1230"/>
    <w:link w:val="141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7">
    <w:name w:val="Body Text Indent 2"/>
    <w:basedOn w:val="1220"/>
    <w:link w:val="1418"/>
    <w:uiPriority w:val="99"/>
    <w:pPr>
      <w:ind w:left="283"/>
      <w:spacing w:after="120" w:line="480" w:lineRule="auto"/>
    </w:pPr>
  </w:style>
  <w:style w:type="character" w:styleId="1418" w:customStyle="1">
    <w:name w:val="Основной текст с отступом 2 Знак"/>
    <w:basedOn w:val="1230"/>
    <w:link w:val="14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9">
    <w:name w:val="Body Text Indent 3"/>
    <w:basedOn w:val="1220"/>
    <w:link w:val="1420"/>
    <w:uiPriority w:val="99"/>
    <w:pPr>
      <w:ind w:left="283"/>
      <w:spacing w:after="120"/>
    </w:pPr>
    <w:rPr>
      <w:sz w:val="16"/>
      <w:szCs w:val="16"/>
    </w:rPr>
  </w:style>
  <w:style w:type="character" w:styleId="1420" w:customStyle="1">
    <w:name w:val="Основной текст с отступом 3 Знак"/>
    <w:basedOn w:val="1230"/>
    <w:link w:val="1419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21">
    <w:name w:val="Header"/>
    <w:basedOn w:val="1220"/>
    <w:link w:val="1422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422" w:customStyle="1">
    <w:name w:val="Верхний колонтитул Знак"/>
    <w:basedOn w:val="1230"/>
    <w:link w:val="142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3">
    <w:name w:val="Block Text"/>
    <w:basedOn w:val="1220"/>
    <w:uiPriority w:val="99"/>
    <w:pPr>
      <w:ind w:left="1440" w:right="1440"/>
      <w:spacing w:after="120"/>
    </w:pPr>
  </w:style>
  <w:style w:type="character" w:styleId="1424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425">
    <w:name w:val="footnote text"/>
    <w:basedOn w:val="1220"/>
    <w:link w:val="1426"/>
    <w:uiPriority w:val="99"/>
    <w:rPr>
      <w:sz w:val="20"/>
      <w:szCs w:val="20"/>
    </w:rPr>
  </w:style>
  <w:style w:type="character" w:styleId="1426" w:customStyle="1">
    <w:name w:val="Текст сноски Знак"/>
    <w:basedOn w:val="1230"/>
    <w:link w:val="142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27">
    <w:name w:val="page number"/>
    <w:uiPriority w:val="99"/>
    <w:rPr>
      <w:rFonts w:ascii="Times New Roman" w:hAnsi="Times New Roman" w:cs="Times New Roman"/>
    </w:rPr>
  </w:style>
  <w:style w:type="paragraph" w:styleId="1428">
    <w:name w:val="Footer"/>
    <w:basedOn w:val="1220"/>
    <w:link w:val="1429"/>
    <w:uiPriority w:val="99"/>
    <w:pPr>
      <w:tabs>
        <w:tab w:val="center" w:pos="4153" w:leader="none"/>
        <w:tab w:val="right" w:pos="8306" w:leader="none"/>
      </w:tabs>
    </w:pPr>
  </w:style>
  <w:style w:type="character" w:styleId="1429" w:customStyle="1">
    <w:name w:val="Нижний колонтитул Знак"/>
    <w:basedOn w:val="1230"/>
    <w:link w:val="142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0">
    <w:name w:val="Body Text 3"/>
    <w:basedOn w:val="1220"/>
    <w:link w:val="1431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431" w:customStyle="1">
    <w:name w:val="Основной текст 3 Знак"/>
    <w:basedOn w:val="1230"/>
    <w:link w:val="1430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2">
    <w:name w:val="Plain Text"/>
    <w:basedOn w:val="1220"/>
    <w:link w:val="1433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433" w:customStyle="1">
    <w:name w:val="Текст Знак"/>
    <w:basedOn w:val="1230"/>
    <w:link w:val="1432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34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35">
    <w:name w:val="Normal (Web)"/>
    <w:basedOn w:val="1220"/>
    <w:uiPriority w:val="99"/>
    <w:pPr>
      <w:jc w:val="left"/>
      <w:spacing w:before="100" w:beforeAutospacing="1" w:after="100" w:afterAutospacing="1"/>
    </w:pPr>
  </w:style>
  <w:style w:type="paragraph" w:styleId="1436">
    <w:name w:val="HTML Address"/>
    <w:basedOn w:val="1220"/>
    <w:link w:val="1437"/>
    <w:uiPriority w:val="99"/>
    <w:rPr>
      <w:i/>
      <w:iCs/>
    </w:rPr>
  </w:style>
  <w:style w:type="character" w:styleId="1437" w:customStyle="1">
    <w:name w:val="Адрес HTML Знак"/>
    <w:basedOn w:val="1230"/>
    <w:link w:val="1436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38">
    <w:name w:val="envelope address"/>
    <w:basedOn w:val="1220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439">
    <w:name w:val="HTML Acronym"/>
    <w:basedOn w:val="1230"/>
    <w:uiPriority w:val="99"/>
  </w:style>
  <w:style w:type="character" w:styleId="1440">
    <w:name w:val="Emphasis"/>
    <w:uiPriority w:val="99"/>
    <w:qFormat/>
    <w:rPr>
      <w:i/>
      <w:iCs/>
    </w:rPr>
  </w:style>
  <w:style w:type="character" w:styleId="1441">
    <w:name w:val="Hyperlink"/>
    <w:uiPriority w:val="99"/>
    <w:rPr>
      <w:color w:val="0000ff"/>
      <w:u w:val="single"/>
    </w:rPr>
  </w:style>
  <w:style w:type="paragraph" w:styleId="1442">
    <w:name w:val="Note Heading"/>
    <w:basedOn w:val="1220"/>
    <w:next w:val="1220"/>
    <w:link w:val="1443"/>
    <w:uiPriority w:val="99"/>
  </w:style>
  <w:style w:type="character" w:styleId="1443" w:customStyle="1">
    <w:name w:val="Заголовок записки Знак"/>
    <w:basedOn w:val="1230"/>
    <w:link w:val="144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4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445">
    <w:name w:val="HTML Code"/>
    <w:uiPriority w:val="99"/>
    <w:rPr>
      <w:rFonts w:ascii="Courier New" w:hAnsi="Courier New" w:cs="Courier New"/>
      <w:sz w:val="20"/>
      <w:szCs w:val="20"/>
    </w:rPr>
  </w:style>
  <w:style w:type="paragraph" w:styleId="1446">
    <w:name w:val="Body Text First Indent"/>
    <w:basedOn w:val="1415"/>
    <w:link w:val="1447"/>
    <w:uiPriority w:val="99"/>
    <w:pPr>
      <w:ind w:firstLine="210"/>
    </w:pPr>
  </w:style>
  <w:style w:type="character" w:styleId="1447" w:customStyle="1">
    <w:name w:val="Красная строка Знак"/>
    <w:basedOn w:val="1416"/>
    <w:link w:val="144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8">
    <w:name w:val="Body Text First Indent 2"/>
    <w:basedOn w:val="1393"/>
    <w:link w:val="1449"/>
    <w:uiPriority w:val="99"/>
    <w:pPr>
      <w:ind w:left="283" w:firstLine="210"/>
      <w:spacing w:before="0" w:after="120"/>
    </w:pPr>
  </w:style>
  <w:style w:type="character" w:styleId="1449" w:customStyle="1">
    <w:name w:val="Красная строка 2 Знак"/>
    <w:basedOn w:val="1395"/>
    <w:link w:val="144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50">
    <w:name w:val="line number"/>
    <w:basedOn w:val="1230"/>
    <w:uiPriority w:val="99"/>
  </w:style>
  <w:style w:type="character" w:styleId="1451">
    <w:name w:val="HTML Sample"/>
    <w:uiPriority w:val="99"/>
    <w:rPr>
      <w:rFonts w:ascii="Courier New" w:hAnsi="Courier New" w:cs="Courier New"/>
    </w:rPr>
  </w:style>
  <w:style w:type="paragraph" w:styleId="1452">
    <w:name w:val="envelope return"/>
    <w:basedOn w:val="1220"/>
    <w:uiPriority w:val="99"/>
    <w:rPr>
      <w:rFonts w:ascii="Arial" w:hAnsi="Arial" w:cs="Arial"/>
      <w:sz w:val="20"/>
      <w:szCs w:val="20"/>
    </w:rPr>
  </w:style>
  <w:style w:type="paragraph" w:styleId="1453">
    <w:name w:val="Normal Indent"/>
    <w:basedOn w:val="1220"/>
    <w:uiPriority w:val="99"/>
    <w:pPr>
      <w:ind w:left="708"/>
    </w:pPr>
  </w:style>
  <w:style w:type="character" w:styleId="1454">
    <w:name w:val="HTML Definition"/>
    <w:uiPriority w:val="99"/>
    <w:rPr>
      <w:i/>
      <w:iCs/>
    </w:rPr>
  </w:style>
  <w:style w:type="character" w:styleId="1455">
    <w:name w:val="HTML Variable"/>
    <w:uiPriority w:val="99"/>
    <w:rPr>
      <w:i/>
      <w:iCs/>
    </w:rPr>
  </w:style>
  <w:style w:type="character" w:styleId="1456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457">
    <w:name w:val="Signature"/>
    <w:basedOn w:val="1220"/>
    <w:link w:val="1458"/>
    <w:uiPriority w:val="99"/>
    <w:pPr>
      <w:ind w:left="4252"/>
    </w:pPr>
  </w:style>
  <w:style w:type="character" w:styleId="1458" w:customStyle="1">
    <w:name w:val="Подпись Знак"/>
    <w:basedOn w:val="1230"/>
    <w:link w:val="145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9">
    <w:name w:val="Salutation"/>
    <w:basedOn w:val="1220"/>
    <w:next w:val="1220"/>
    <w:link w:val="1460"/>
    <w:uiPriority w:val="99"/>
  </w:style>
  <w:style w:type="character" w:styleId="1460" w:customStyle="1">
    <w:name w:val="Приветствие Знак"/>
    <w:basedOn w:val="1230"/>
    <w:link w:val="145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1">
    <w:name w:val="List Continue"/>
    <w:basedOn w:val="1220"/>
    <w:uiPriority w:val="99"/>
    <w:pPr>
      <w:ind w:left="283"/>
      <w:spacing w:after="120"/>
    </w:pPr>
  </w:style>
  <w:style w:type="paragraph" w:styleId="1462">
    <w:name w:val="List Continue 2"/>
    <w:basedOn w:val="1220"/>
    <w:uiPriority w:val="99"/>
    <w:pPr>
      <w:ind w:left="566"/>
      <w:spacing w:after="120"/>
    </w:pPr>
  </w:style>
  <w:style w:type="paragraph" w:styleId="1463">
    <w:name w:val="List Continue 3"/>
    <w:basedOn w:val="1220"/>
    <w:uiPriority w:val="99"/>
    <w:pPr>
      <w:ind w:left="849"/>
      <w:spacing w:after="120"/>
    </w:pPr>
  </w:style>
  <w:style w:type="paragraph" w:styleId="1464">
    <w:name w:val="List Continue 4"/>
    <w:basedOn w:val="1220"/>
    <w:uiPriority w:val="99"/>
    <w:pPr>
      <w:ind w:left="1132"/>
      <w:spacing w:after="120"/>
    </w:pPr>
  </w:style>
  <w:style w:type="paragraph" w:styleId="1465">
    <w:name w:val="List Continue 5"/>
    <w:basedOn w:val="1220"/>
    <w:uiPriority w:val="99"/>
    <w:pPr>
      <w:ind w:left="1415"/>
      <w:spacing w:after="120"/>
    </w:pPr>
  </w:style>
  <w:style w:type="character" w:styleId="1466">
    <w:name w:val="FollowedHyperlink"/>
    <w:uiPriority w:val="99"/>
    <w:rPr>
      <w:color w:val="800080"/>
      <w:u w:val="single"/>
    </w:rPr>
  </w:style>
  <w:style w:type="paragraph" w:styleId="1467">
    <w:name w:val="Closing"/>
    <w:basedOn w:val="1220"/>
    <w:link w:val="1468"/>
    <w:uiPriority w:val="99"/>
    <w:pPr>
      <w:ind w:left="4252"/>
    </w:pPr>
  </w:style>
  <w:style w:type="character" w:styleId="1468" w:customStyle="1">
    <w:name w:val="Прощание Знак"/>
    <w:basedOn w:val="1230"/>
    <w:link w:val="146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9">
    <w:name w:val="List"/>
    <w:basedOn w:val="1220"/>
    <w:uiPriority w:val="99"/>
    <w:pPr>
      <w:ind w:left="283" w:hanging="283"/>
    </w:pPr>
  </w:style>
  <w:style w:type="paragraph" w:styleId="1470">
    <w:name w:val="List 2"/>
    <w:basedOn w:val="1220"/>
    <w:uiPriority w:val="99"/>
    <w:pPr>
      <w:ind w:left="566" w:hanging="283"/>
    </w:pPr>
  </w:style>
  <w:style w:type="paragraph" w:styleId="1471">
    <w:name w:val="List 3"/>
    <w:basedOn w:val="1220"/>
    <w:uiPriority w:val="99"/>
    <w:pPr>
      <w:ind w:left="849" w:hanging="283"/>
    </w:pPr>
  </w:style>
  <w:style w:type="paragraph" w:styleId="1472">
    <w:name w:val="List 4"/>
    <w:basedOn w:val="1220"/>
    <w:uiPriority w:val="99"/>
    <w:pPr>
      <w:ind w:left="1132" w:hanging="283"/>
    </w:pPr>
  </w:style>
  <w:style w:type="paragraph" w:styleId="1473">
    <w:name w:val="List 5"/>
    <w:basedOn w:val="1220"/>
    <w:uiPriority w:val="99"/>
    <w:pPr>
      <w:ind w:left="1415" w:hanging="283"/>
    </w:pPr>
  </w:style>
  <w:style w:type="paragraph" w:styleId="1474">
    <w:name w:val="HTML Preformatted"/>
    <w:basedOn w:val="1220"/>
    <w:link w:val="1475"/>
    <w:uiPriority w:val="99"/>
    <w:rPr>
      <w:rFonts w:ascii="Courier New" w:hAnsi="Courier New" w:cs="Courier New"/>
      <w:sz w:val="20"/>
      <w:szCs w:val="20"/>
    </w:rPr>
  </w:style>
  <w:style w:type="character" w:styleId="1475" w:customStyle="1">
    <w:name w:val="Стандартный HTML Знак"/>
    <w:basedOn w:val="1230"/>
    <w:link w:val="1474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476">
    <w:name w:val="Strong"/>
    <w:uiPriority w:val="99"/>
    <w:qFormat/>
    <w:rPr>
      <w:b/>
      <w:bCs/>
    </w:rPr>
  </w:style>
  <w:style w:type="character" w:styleId="1477">
    <w:name w:val="HTML Cite"/>
    <w:uiPriority w:val="99"/>
    <w:rPr>
      <w:i/>
      <w:iCs/>
    </w:rPr>
  </w:style>
  <w:style w:type="paragraph" w:styleId="1478">
    <w:name w:val="Message Header"/>
    <w:basedOn w:val="1220"/>
    <w:link w:val="1479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479" w:customStyle="1">
    <w:name w:val="Шапка Знак"/>
    <w:basedOn w:val="1230"/>
    <w:link w:val="1478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480">
    <w:name w:val="E-mail Signature"/>
    <w:basedOn w:val="1220"/>
    <w:link w:val="1481"/>
    <w:uiPriority w:val="99"/>
  </w:style>
  <w:style w:type="character" w:styleId="1481" w:customStyle="1">
    <w:name w:val="Электронная подпись Знак"/>
    <w:basedOn w:val="1230"/>
    <w:link w:val="14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82">
    <w:name w:val="toc 4"/>
    <w:basedOn w:val="1220"/>
    <w:next w:val="1220"/>
    <w:uiPriority w:val="39"/>
    <w:pPr>
      <w:ind w:left="720"/>
      <w:jc w:val="left"/>
      <w:spacing w:after="0"/>
    </w:pPr>
    <w:rPr>
      <w:sz w:val="18"/>
      <w:szCs w:val="18"/>
    </w:rPr>
  </w:style>
  <w:style w:type="paragraph" w:styleId="1483">
    <w:name w:val="toc 5"/>
    <w:basedOn w:val="1220"/>
    <w:next w:val="1220"/>
    <w:uiPriority w:val="39"/>
    <w:pPr>
      <w:ind w:left="960"/>
      <w:jc w:val="left"/>
      <w:spacing w:after="0"/>
    </w:pPr>
    <w:rPr>
      <w:sz w:val="18"/>
      <w:szCs w:val="18"/>
    </w:rPr>
  </w:style>
  <w:style w:type="paragraph" w:styleId="1484">
    <w:name w:val="toc 6"/>
    <w:basedOn w:val="1220"/>
    <w:next w:val="1220"/>
    <w:uiPriority w:val="39"/>
    <w:pPr>
      <w:ind w:left="1200"/>
      <w:jc w:val="left"/>
      <w:spacing w:after="0"/>
    </w:pPr>
    <w:rPr>
      <w:sz w:val="18"/>
      <w:szCs w:val="18"/>
    </w:rPr>
  </w:style>
  <w:style w:type="paragraph" w:styleId="1485">
    <w:name w:val="toc 7"/>
    <w:basedOn w:val="1220"/>
    <w:next w:val="1220"/>
    <w:uiPriority w:val="39"/>
    <w:pPr>
      <w:ind w:left="1440"/>
      <w:jc w:val="left"/>
      <w:spacing w:after="0"/>
    </w:pPr>
    <w:rPr>
      <w:sz w:val="18"/>
      <w:szCs w:val="18"/>
    </w:rPr>
  </w:style>
  <w:style w:type="paragraph" w:styleId="1486">
    <w:name w:val="toc 8"/>
    <w:basedOn w:val="1220"/>
    <w:next w:val="1220"/>
    <w:uiPriority w:val="39"/>
    <w:pPr>
      <w:ind w:left="1680"/>
      <w:jc w:val="left"/>
      <w:spacing w:after="0"/>
    </w:pPr>
    <w:rPr>
      <w:sz w:val="18"/>
      <w:szCs w:val="18"/>
    </w:rPr>
  </w:style>
  <w:style w:type="paragraph" w:styleId="1487">
    <w:name w:val="toc 9"/>
    <w:basedOn w:val="1220"/>
    <w:next w:val="1220"/>
    <w:uiPriority w:val="39"/>
    <w:pPr>
      <w:ind w:left="1920"/>
      <w:jc w:val="left"/>
      <w:spacing w:after="0"/>
    </w:pPr>
    <w:rPr>
      <w:sz w:val="18"/>
      <w:szCs w:val="18"/>
    </w:rPr>
  </w:style>
  <w:style w:type="paragraph" w:styleId="1488" w:customStyle="1">
    <w:name w:val="Стиль1"/>
    <w:basedOn w:val="1220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489" w:customStyle="1">
    <w:name w:val="содержание2-1"/>
    <w:basedOn w:val="1223"/>
    <w:next w:val="1220"/>
    <w:uiPriority w:val="99"/>
  </w:style>
  <w:style w:type="paragraph" w:styleId="1490" w:customStyle="1">
    <w:name w:val="Заголовок 2.1"/>
    <w:basedOn w:val="1221"/>
    <w:uiPriority w:val="99"/>
    <w:pPr>
      <w:keepLines/>
      <w:widowControl w:val="off"/>
      <w:suppressLineNumbers/>
    </w:pPr>
    <w:rPr>
      <w:caps/>
    </w:rPr>
  </w:style>
  <w:style w:type="paragraph" w:styleId="1491" w:customStyle="1">
    <w:name w:val="Стиль2"/>
    <w:basedOn w:val="1402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492" w:customStyle="1">
    <w:name w:val="Стиль3"/>
    <w:basedOn w:val="1417"/>
    <w:pPr>
      <w:numPr>
        <w:ilvl w:val="2"/>
        <w:numId w:val="3"/>
      </w:numPr>
      <w:spacing w:after="0" w:line="240" w:lineRule="auto"/>
      <w:widowControl w:val="off"/>
    </w:pPr>
  </w:style>
  <w:style w:type="paragraph" w:styleId="1493" w:customStyle="1">
    <w:name w:val="содержание2-11"/>
    <w:basedOn w:val="1220"/>
    <w:uiPriority w:val="99"/>
  </w:style>
  <w:style w:type="character" w:styleId="1494" w:customStyle="1">
    <w:name w:val="Знак Знак1"/>
    <w:uiPriority w:val="99"/>
    <w:rPr>
      <w:sz w:val="24"/>
      <w:szCs w:val="24"/>
      <w:lang w:val="ru-RU" w:eastAsia="ru-RU"/>
    </w:rPr>
  </w:style>
  <w:style w:type="character" w:styleId="1495" w:customStyle="1">
    <w:name w:val="Стиль3 Знак"/>
    <w:uiPriority w:val="99"/>
    <w:rPr>
      <w:sz w:val="24"/>
      <w:szCs w:val="24"/>
      <w:lang w:val="ru-RU" w:eastAsia="ru-RU"/>
    </w:rPr>
  </w:style>
  <w:style w:type="paragraph" w:styleId="1496" w:customStyle="1">
    <w:name w:val="Стиль4"/>
    <w:basedOn w:val="1222"/>
    <w:next w:val="1220"/>
    <w:uiPriority w:val="99"/>
    <w:pPr>
      <w:ind w:firstLine="567"/>
      <w:keepLines/>
      <w:widowControl w:val="off"/>
      <w:suppressLineNumbers/>
    </w:pPr>
  </w:style>
  <w:style w:type="paragraph" w:styleId="1497" w:customStyle="1">
    <w:name w:val="Таблица заголовок"/>
    <w:basedOn w:val="1220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498" w:customStyle="1">
    <w:name w:val="текст таблицы"/>
    <w:basedOn w:val="1220"/>
    <w:uiPriority w:val="99"/>
    <w:pPr>
      <w:ind w:right="-102"/>
      <w:jc w:val="left"/>
      <w:spacing w:before="120" w:after="0"/>
    </w:pPr>
  </w:style>
  <w:style w:type="paragraph" w:styleId="1499" w:customStyle="1">
    <w:name w:val="Пункт Знак"/>
    <w:basedOn w:val="1220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500" w:customStyle="1">
    <w:name w:val="a"/>
    <w:basedOn w:val="1220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501" w:customStyle="1">
    <w:name w:val="Словарная статья"/>
    <w:basedOn w:val="1220"/>
    <w:next w:val="1220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502" w:customStyle="1">
    <w:name w:val="Комментарий пользователя"/>
    <w:basedOn w:val="1220"/>
    <w:next w:val="1220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503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504" w:customStyle="1">
    <w:name w:val="Текст выноски Знак"/>
    <w:basedOn w:val="1230"/>
    <w:link w:val="1505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505">
    <w:name w:val="Balloon Text"/>
    <w:basedOn w:val="1220"/>
    <w:link w:val="1504"/>
    <w:uiPriority w:val="99"/>
    <w:semiHidden/>
    <w:rPr>
      <w:sz w:val="20"/>
      <w:szCs w:val="2"/>
    </w:rPr>
  </w:style>
  <w:style w:type="character" w:styleId="1506" w:customStyle="1">
    <w:name w:val="label_body_text_1"/>
    <w:uiPriority w:val="99"/>
  </w:style>
  <w:style w:type="paragraph" w:styleId="1507" w:customStyle="1">
    <w:name w:val="Заголовок 1.Document Header1"/>
    <w:basedOn w:val="1220"/>
    <w:next w:val="1220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508" w:customStyle="1">
    <w:name w:val="ConsPlusNormal"/>
    <w:link w:val="1575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509" w:customStyle="1">
    <w:name w:val="Знак Знак11"/>
    <w:uiPriority w:val="99"/>
    <w:rPr>
      <w:sz w:val="24"/>
      <w:szCs w:val="24"/>
      <w:lang w:val="ru-RU" w:eastAsia="ru-RU"/>
    </w:rPr>
  </w:style>
  <w:style w:type="character" w:styleId="1510" w:customStyle="1">
    <w:name w:val="Текст примечания Знак"/>
    <w:basedOn w:val="1230"/>
    <w:link w:val="151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11">
    <w:name w:val="annotation text"/>
    <w:basedOn w:val="1220"/>
    <w:link w:val="1510"/>
    <w:uiPriority w:val="99"/>
    <w:semiHidden/>
    <w:rPr>
      <w:sz w:val="20"/>
      <w:szCs w:val="20"/>
    </w:rPr>
  </w:style>
  <w:style w:type="character" w:styleId="1512" w:customStyle="1">
    <w:name w:val="Тема примечания Знак"/>
    <w:basedOn w:val="1510"/>
    <w:link w:val="151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513">
    <w:name w:val="annotation subject"/>
    <w:basedOn w:val="1511"/>
    <w:next w:val="1511"/>
    <w:link w:val="1512"/>
    <w:uiPriority w:val="99"/>
    <w:semiHidden/>
    <w:rPr>
      <w:b/>
      <w:bCs/>
    </w:rPr>
  </w:style>
  <w:style w:type="paragraph" w:styleId="1514" w:customStyle="1">
    <w:name w:val="20"/>
    <w:basedOn w:val="1220"/>
    <w:uiPriority w:val="99"/>
    <w:pPr>
      <w:ind w:left="104" w:right="104"/>
      <w:jc w:val="left"/>
      <w:spacing w:before="104" w:after="104"/>
    </w:pPr>
  </w:style>
  <w:style w:type="paragraph" w:styleId="1515" w:customStyle="1">
    <w:name w:val="Пункт"/>
    <w:basedOn w:val="1220"/>
    <w:link w:val="1516"/>
    <w:pPr>
      <w:ind w:left="1404" w:hanging="504"/>
      <w:spacing w:after="0"/>
      <w:tabs>
        <w:tab w:val="num" w:pos="1980" w:leader="none"/>
      </w:tabs>
    </w:pPr>
  </w:style>
  <w:style w:type="character" w:styleId="1516" w:customStyle="1">
    <w:name w:val="Пункт Знак1"/>
    <w:link w:val="151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7" w:customStyle="1">
    <w:name w:val="Подпункт"/>
    <w:basedOn w:val="1515"/>
    <w:link w:val="1518"/>
    <w:pPr>
      <w:ind w:left="1728" w:hanging="648"/>
      <w:tabs>
        <w:tab w:val="clear" w:pos="1980" w:leader="none"/>
        <w:tab w:val="num" w:pos="2520" w:leader="none"/>
      </w:tabs>
    </w:pPr>
  </w:style>
  <w:style w:type="character" w:styleId="1518" w:customStyle="1">
    <w:name w:val="Подпункт Знак1"/>
    <w:link w:val="151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19" w:customStyle="1">
    <w:name w:val="Схема документа Знак"/>
    <w:basedOn w:val="1230"/>
    <w:link w:val="1520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520">
    <w:name w:val="Document Map"/>
    <w:basedOn w:val="1220"/>
    <w:link w:val="1519"/>
    <w:uiPriority w:val="99"/>
    <w:semiHidden/>
    <w:pPr>
      <w:shd w:val="clear" w:color="auto" w:fill="000080"/>
    </w:pPr>
    <w:rPr>
      <w:sz w:val="2"/>
      <w:szCs w:val="2"/>
    </w:rPr>
  </w:style>
  <w:style w:type="paragraph" w:styleId="1521" w:customStyle="1">
    <w:name w:val="Таблица шапка"/>
    <w:basedOn w:val="1220"/>
    <w:link w:val="1522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522" w:customStyle="1">
    <w:name w:val="Таблица шапка Знак"/>
    <w:link w:val="1521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523" w:customStyle="1">
    <w:name w:val="Таблица текст"/>
    <w:basedOn w:val="1220"/>
    <w:link w:val="1524"/>
    <w:pPr>
      <w:ind w:left="57" w:right="57"/>
      <w:jc w:val="left"/>
      <w:spacing w:before="40" w:after="40"/>
    </w:pPr>
    <w:rPr>
      <w:sz w:val="22"/>
      <w:szCs w:val="22"/>
    </w:rPr>
  </w:style>
  <w:style w:type="character" w:styleId="1524" w:customStyle="1">
    <w:name w:val="Таблица текст Знак"/>
    <w:link w:val="1523"/>
    <w:rPr>
      <w:rFonts w:ascii="Times New Roman" w:hAnsi="Times New Roman" w:eastAsia="Times New Roman" w:cs="Times New Roman"/>
      <w:lang w:eastAsia="ru-RU"/>
    </w:rPr>
  </w:style>
  <w:style w:type="paragraph" w:styleId="1525" w:customStyle="1">
    <w:name w:val="пункт"/>
    <w:basedOn w:val="1220"/>
    <w:uiPriority w:val="99"/>
    <w:pPr>
      <w:numPr>
        <w:ilvl w:val="2"/>
        <w:numId w:val="5"/>
      </w:numPr>
      <w:jc w:val="left"/>
      <w:spacing w:before="60"/>
    </w:pPr>
  </w:style>
  <w:style w:type="character" w:styleId="1526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527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529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0">
    <w:name w:val="endnote text"/>
    <w:basedOn w:val="1220"/>
    <w:link w:val="1531"/>
    <w:uiPriority w:val="99"/>
    <w:rPr>
      <w:sz w:val="20"/>
      <w:szCs w:val="20"/>
    </w:rPr>
  </w:style>
  <w:style w:type="character" w:styleId="1531" w:customStyle="1">
    <w:name w:val="Текст концевой сноски Знак"/>
    <w:basedOn w:val="1230"/>
    <w:link w:val="153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32" w:customStyle="1">
    <w:name w:val="Основной текст с отступом11"/>
    <w:basedOn w:val="1220"/>
    <w:uiPriority w:val="99"/>
    <w:pPr>
      <w:ind w:firstLine="851"/>
      <w:spacing w:before="60" w:after="0"/>
    </w:pPr>
  </w:style>
  <w:style w:type="character" w:styleId="1533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534">
    <w:name w:val="List Paragraph"/>
    <w:basedOn w:val="1220"/>
    <w:link w:val="1535"/>
    <w:uiPriority w:val="34"/>
    <w:qFormat/>
    <w:pPr>
      <w:ind w:left="720"/>
      <w:jc w:val="left"/>
      <w:spacing w:after="0"/>
    </w:pPr>
  </w:style>
  <w:style w:type="character" w:styleId="1535" w:customStyle="1">
    <w:name w:val="Абзац списка Знак"/>
    <w:basedOn w:val="1230"/>
    <w:link w:val="153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36" w:customStyle="1">
    <w:name w:val="f"/>
    <w:basedOn w:val="1230"/>
  </w:style>
  <w:style w:type="character" w:styleId="1537" w:customStyle="1">
    <w:name w:val="r"/>
    <w:basedOn w:val="1230"/>
  </w:style>
  <w:style w:type="paragraph" w:styleId="1538">
    <w:name w:val="Body Text 2"/>
    <w:basedOn w:val="1220"/>
    <w:link w:val="1539"/>
    <w:pPr>
      <w:spacing w:after="120" w:line="480" w:lineRule="auto"/>
    </w:pPr>
  </w:style>
  <w:style w:type="character" w:styleId="1539" w:customStyle="1">
    <w:name w:val="Основной текст 2 Знак"/>
    <w:basedOn w:val="1230"/>
    <w:link w:val="1538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40">
    <w:name w:val="Table Grid"/>
    <w:basedOn w:val="123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41" w:customStyle="1">
    <w:name w:val="Iniiaiie oaeno"/>
    <w:basedOn w:val="1220"/>
    <w:uiPriority w:val="99"/>
    <w:pPr>
      <w:jc w:val="center"/>
      <w:spacing w:after="0"/>
    </w:pPr>
    <w:rPr>
      <w:rFonts w:ascii="Arial" w:hAnsi="Arial" w:cs="Arial"/>
    </w:rPr>
  </w:style>
  <w:style w:type="paragraph" w:styleId="1542" w:customStyle="1">
    <w:name w:val="Абзац списка1"/>
    <w:basedOn w:val="1220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543" w:customStyle="1">
    <w:name w:val="Таблицы (моноширинный)"/>
    <w:basedOn w:val="1220"/>
    <w:next w:val="1220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544" w:customStyle="1">
    <w:name w:val="Подподпункт"/>
    <w:basedOn w:val="1517"/>
    <w:link w:val="154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545" w:customStyle="1">
    <w:name w:val="Подподпункт Знак"/>
    <w:basedOn w:val="1230"/>
    <w:link w:val="154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46" w:customStyle="1">
    <w:name w:val="Пункт-3"/>
    <w:basedOn w:val="1220"/>
    <w:link w:val="1547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547" w:customStyle="1">
    <w:name w:val="Пункт-3 Знак"/>
    <w:link w:val="154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548" w:customStyle="1">
    <w:name w:val="Основной текст (3)_"/>
    <w:basedOn w:val="1230"/>
    <w:link w:val="1549"/>
    <w:rPr>
      <w:b/>
      <w:bCs/>
      <w:shd w:val="clear" w:color="auto" w:fill="ffffff"/>
    </w:rPr>
  </w:style>
  <w:style w:type="paragraph" w:styleId="1549" w:customStyle="1">
    <w:name w:val="Основной текст (3)"/>
    <w:basedOn w:val="1220"/>
    <w:link w:val="1548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550" w:customStyle="1">
    <w:name w:val="Default"/>
    <w:link w:val="157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551" w:customStyle="1">
    <w:name w:val="Пункт-4"/>
    <w:basedOn w:val="1220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552" w:customStyle="1">
    <w:name w:val="комментарий"/>
    <w:rPr>
      <w:i/>
      <w:u w:val="none"/>
      <w:shd w:val="clear" w:color="auto" w:fill="ffff99"/>
    </w:rPr>
  </w:style>
  <w:style w:type="paragraph" w:styleId="1553" w:customStyle="1">
    <w:name w:val="Ариал"/>
    <w:basedOn w:val="1220"/>
    <w:link w:val="1554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554" w:customStyle="1">
    <w:name w:val="Ариал Знак1"/>
    <w:link w:val="1553"/>
    <w:rPr>
      <w:rFonts w:ascii="Arial" w:hAnsi="Arial" w:eastAsia="Times New Roman" w:cs="Times New Roman"/>
      <w:sz w:val="24"/>
      <w:szCs w:val="20"/>
    </w:rPr>
  </w:style>
  <w:style w:type="paragraph" w:styleId="1555" w:customStyle="1">
    <w:name w:val="Цитата1"/>
    <w:basedOn w:val="1220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556" w:customStyle="1">
    <w:name w:val="Заголовок_1"/>
    <w:basedOn w:val="1220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557" w:customStyle="1">
    <w:name w:val="Пункт_3"/>
    <w:basedOn w:val="1220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558" w:customStyle="1">
    <w:name w:val="Пункт_2"/>
    <w:basedOn w:val="1220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559" w:customStyle="1">
    <w:name w:val="Пункт_5"/>
    <w:basedOn w:val="1557"/>
    <w:uiPriority w:val="99"/>
    <w:pPr>
      <w:numPr>
        <w:ilvl w:val="4"/>
      </w:numPr>
    </w:pPr>
  </w:style>
  <w:style w:type="paragraph" w:styleId="1560">
    <w:name w:val="Caption"/>
    <w:basedOn w:val="1220"/>
    <w:next w:val="1220"/>
    <w:link w:val="1252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561" w:customStyle="1">
    <w:name w:val="Times 12"/>
    <w:basedOn w:val="1220"/>
    <w:pPr>
      <w:ind w:firstLine="567"/>
      <w:spacing w:after="0"/>
    </w:pPr>
    <w:rPr>
      <w:bCs/>
      <w:szCs w:val="22"/>
    </w:rPr>
  </w:style>
  <w:style w:type="paragraph" w:styleId="1562" w:customStyle="1">
    <w:name w:val="FTN_txt"/>
    <w:basedOn w:val="1220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563" w:customStyle="1">
    <w:name w:val="[Ростех] Простой текст (Без уровня)"/>
    <w:link w:val="1564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4" w:customStyle="1">
    <w:name w:val="[Ростех] Простой текст (Без уровня) Знак"/>
    <w:basedOn w:val="1230"/>
    <w:link w:val="1563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5" w:customStyle="1">
    <w:name w:val="[Ростех] Текст Подпункта (Уровень 5)"/>
    <w:link w:val="1566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6" w:customStyle="1">
    <w:name w:val="[Ростех] Текст Подпункта (Уровень 5) Знак"/>
    <w:basedOn w:val="1230"/>
    <w:link w:val="1565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7" w:customStyle="1">
    <w:name w:val="[Ростех] Текст Подпункта (следующий абзац) (Уровень 4)"/>
    <w:link w:val="1568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8" w:customStyle="1">
    <w:name w:val="[Ростех] Текст Подпункта (следующий абзац) (Уровень 4) Знак"/>
    <w:basedOn w:val="1230"/>
    <w:link w:val="1567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69" w:customStyle="1">
    <w:name w:val="Пункт б/н"/>
    <w:basedOn w:val="1220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570" w:customStyle="1">
    <w:name w:val="Основной текст 22"/>
    <w:basedOn w:val="1220"/>
    <w:pPr>
      <w:ind w:firstLine="567"/>
      <w:jc w:val="left"/>
      <w:spacing w:after="0"/>
    </w:pPr>
    <w:rPr>
      <w:szCs w:val="20"/>
    </w:rPr>
  </w:style>
  <w:style w:type="character" w:styleId="1571">
    <w:name w:val="Placeholder Text"/>
    <w:basedOn w:val="1230"/>
    <w:uiPriority w:val="99"/>
    <w:semiHidden/>
    <w:rPr>
      <w:color w:val="808080"/>
    </w:rPr>
  </w:style>
  <w:style w:type="paragraph" w:styleId="1572" w:customStyle="1">
    <w:name w:val="_Маркер (номер) - с заголовком"/>
    <w:basedOn w:val="1220"/>
    <w:pPr>
      <w:jc w:val="left"/>
      <w:spacing w:before="240" w:line="360" w:lineRule="auto"/>
    </w:pPr>
    <w:rPr>
      <w:b/>
      <w:bCs/>
      <w:szCs w:val="20"/>
    </w:rPr>
  </w:style>
  <w:style w:type="table" w:styleId="1573" w:customStyle="1">
    <w:name w:val="Сетка таблицы1"/>
    <w:basedOn w:val="1231"/>
    <w:next w:val="154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74" w:customStyle="1">
    <w:name w:val="Неразрешенное упоминание1"/>
    <w:basedOn w:val="1230"/>
    <w:uiPriority w:val="99"/>
    <w:semiHidden/>
    <w:unhideWhenUsed/>
    <w:rPr>
      <w:color w:val="605e5c"/>
      <w:shd w:val="clear" w:color="auto" w:fill="e1dfdd"/>
    </w:rPr>
  </w:style>
  <w:style w:type="character" w:styleId="1575" w:customStyle="1">
    <w:name w:val="ConsPlusNormal Знак"/>
    <w:link w:val="1508"/>
    <w:rPr>
      <w:rFonts w:ascii="Arial" w:hAnsi="Arial" w:eastAsia="Times New Roman" w:cs="Arial"/>
      <w:sz w:val="20"/>
      <w:szCs w:val="20"/>
      <w:lang w:eastAsia="ru-RU"/>
    </w:rPr>
  </w:style>
  <w:style w:type="paragraph" w:styleId="1576" w:customStyle="1">
    <w:name w:val="Пункт_4"/>
    <w:basedOn w:val="1220"/>
    <w:link w:val="1577"/>
    <w:uiPriority w:val="99"/>
    <w:pPr>
      <w:spacing w:after="0"/>
    </w:pPr>
    <w:rPr>
      <w:sz w:val="28"/>
      <w:szCs w:val="20"/>
      <w:lang w:eastAsia="ko-KR"/>
    </w:rPr>
  </w:style>
  <w:style w:type="character" w:styleId="1577" w:customStyle="1">
    <w:name w:val="Пункт_4 Знак"/>
    <w:link w:val="1576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578" w:customStyle="1">
    <w:name w:val="Сетка таблицы2"/>
    <w:basedOn w:val="1231"/>
    <w:next w:val="154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79" w:customStyle="1">
    <w:name w:val="Default Знак"/>
    <w:link w:val="1550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580" w:customStyle="1">
    <w:name w:val="Нет"/>
  </w:style>
  <w:style w:type="character" w:styleId="1581" w:customStyle="1">
    <w:name w:val="Hyperlink.0"/>
    <w:basedOn w:val="1580"/>
  </w:style>
  <w:style w:type="character" w:styleId="1582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mailto:%3d%3fkoi8-r%3fQ%3f%3dED%3dC1%3dCE%3dC4%3dC5%3dCC%3dD8_%3f%3d%20%3d%3fkoi8-r%3fQ%3f%3dF3%3dD7%3dC5%3dD4%3dCC%3dC1%3dCE%3dC1_%3f%3d%20%3d%3fkoi8-r%3fQ%3f%3dF7%3dCC%3dC1%3dC4%3dC9%3dD3%3dCC%3dC1%3dD7%3dCF%3dD7%3dCE%3f%3d%20%3d%3fkoi8-r%3fQ%3f%3dC1%3f%3d%20%3cMandel-SV@Rosseti-Yantar.Ru%3e" TargetMode="External"/><Relationship Id="rId36" Type="http://schemas.openxmlformats.org/officeDocument/2006/relationships/hyperlink" Target="file:///C:\Users\&#1040;&#1083;&#1080;&#1085;&#1072;\Downloads\www.zakupki.gov.ru" TargetMode="External"/><Relationship Id="rId37" Type="http://schemas.openxmlformats.org/officeDocument/2006/relationships/hyperlink" Target="http://fssprus.ru/" TargetMode="External"/><Relationship Id="rId38" Type="http://schemas.openxmlformats.org/officeDocument/2006/relationships/hyperlink" Target="http://www.consultant.ru/document/cons_doc_LAW_34661/f61ff313afecf81a91a43d729c2df55c1d6a1533/" TargetMode="External"/><Relationship Id="rId39" Type="http://schemas.openxmlformats.org/officeDocument/2006/relationships/hyperlink" Target="https://zakupki.gov.ru/epz/dishonestsupplier/search/results.html" TargetMode="External"/><Relationship Id="rId40" Type="http://schemas.openxmlformats.org/officeDocument/2006/relationships/hyperlink" Target="https://www.consultant.ru/document/cons_doc_LAW_116964/a3b63487ad7d07ce045a07b0f1e7a9d9b064de95/?ysclid=lgq77170fl163638946" TargetMode="External"/><Relationship Id="rId41" Type="http://schemas.openxmlformats.org/officeDocument/2006/relationships/hyperlink" Target="https://zakupki.gov.ru/epz/dishonestsupplier/search/results.html" TargetMode="External"/><Relationship Id="rId42" Type="http://schemas.openxmlformats.org/officeDocument/2006/relationships/hyperlink" Target="https://www.consultant.ru/document/cons_doc_LAW_144624/af90cad46f4484d18fa490ef1c9d7a3b2fd3be3b/" TargetMode="External"/><Relationship Id="rId43" Type="http://schemas.openxmlformats.org/officeDocument/2006/relationships/hyperlink" Target="https://minjust.gov.ru/ru/activity/directions/998/" TargetMode="External"/><Relationship Id="rId44" Type="http://schemas.openxmlformats.org/officeDocument/2006/relationships/hyperlink" Target="https://www.consultant.ru/document/cons_doc_LAW_421788/?ysclid=lg20fc4h7v470804950" TargetMode="External"/><Relationship Id="rId45" Type="http://schemas.openxmlformats.org/officeDocument/2006/relationships/hyperlink" Target="https://www.consultant.ru/document/cons_doc_LAW_51040/f651879e0acd4680a6fdc29f983536624055cbcc/?ysclid=lh7dhcp1aq961991988" TargetMode="External"/><Relationship Id="rId46" Type="http://schemas.openxmlformats.org/officeDocument/2006/relationships/hyperlink" Target="https://nopriz.ru/" TargetMode="External"/><Relationship Id="rId47" Type="http://schemas.openxmlformats.org/officeDocument/2006/relationships/hyperlink" Target="https://www.consultant.ru/document/cons_doc_LAW_51040/b884020ea7453099ba8bc9ca021b84982cadea7d/?ysclid=lh7dkmbcyr186717647" TargetMode="External"/><Relationship Id="rId48" Type="http://schemas.openxmlformats.org/officeDocument/2006/relationships/hyperlink" Target="https://nopriz.ru/" TargetMode="External"/><Relationship Id="rId49" Type="http://schemas.openxmlformats.org/officeDocument/2006/relationships/hyperlink" Target="https://www.consultant.ru/document/cons_doc_LAW_51040/df32b8231cf067c4d4e864c717eb6b398358b504/?ysclid=lh7dmiyi73943741650" TargetMode="External"/><Relationship Id="rId50" Type="http://schemas.openxmlformats.org/officeDocument/2006/relationships/hyperlink" Target="https://nostroy.ru/" TargetMode="External"/><Relationship Id="rId51" Type="http://schemas.openxmlformats.org/officeDocument/2006/relationships/hyperlink" Target="https://service.nalog.ru/vyp/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4" Type="http://schemas.openxmlformats.org/officeDocument/2006/relationships/hyperlink" Target="consultantplus://offline/ref=B7E04B8F5BC345C22463EADCAE81D93CF4CA1215A36F6052F6BC85F6f9C8L" TargetMode="External"/><Relationship Id="rId55" Type="http://schemas.openxmlformats.org/officeDocument/2006/relationships/image" Target="media/image1.png"/><Relationship Id="rId56" Type="http://schemas.openxmlformats.org/officeDocument/2006/relationships/image" Target="media/media1.svg"/><Relationship Id="rId57" Type="http://schemas.openxmlformats.org/officeDocument/2006/relationships/hyperlink" Target="https://rosseti-yantar.ru/about/antikorruptsionnaya-politika/" TargetMode="External"/><Relationship Id="rId58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5DE8A-4B60-45AA-8D30-B705D5BE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lastModifiedBy>mandel-sv</cp:lastModifiedBy>
  <cp:revision>18</cp:revision>
  <dcterms:created xsi:type="dcterms:W3CDTF">2020-03-31T12:58:00Z</dcterms:created>
  <dcterms:modified xsi:type="dcterms:W3CDTF">2026-06-05T10:41:24Z</dcterms:modified>
</cp:coreProperties>
</file>